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665B1D3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9020BF">
        <w:t>18</w:t>
      </w:r>
      <w:r w:rsidR="00E517E4" w:rsidRPr="00A756FA">
        <w:t>/</w:t>
      </w:r>
      <w:r w:rsidR="009020BF">
        <w:t>06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1705F678" w:rsidR="00261510" w:rsidRPr="004D594F" w:rsidRDefault="006327D1" w:rsidP="0047552C">
      <w:pPr>
        <w:pStyle w:val="TtuloNotadePrensa"/>
        <w:jc w:val="both"/>
      </w:pPr>
      <w:bookmarkStart w:id="1" w:name="_Hlk139456888"/>
      <w:bookmarkEnd w:id="0"/>
      <w:r>
        <w:t xml:space="preserve">Autorizada la inversión de 1,53 millones en la adquisición de 95.000 dosis de la vacuna de la gripe estacional para la campaña 2024-2025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10BC09C4" w:rsidR="0020207D" w:rsidRPr="009020BF" w:rsidRDefault="00FD1A7B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 inmunización protegerá a la población riojana de riesgo, en especial a los mayores de 60 años, con o sin patologías crónicas</w:t>
      </w:r>
      <w:r w:rsidR="006947A2">
        <w:rPr>
          <w:b/>
          <w:lang w:val="es-ES"/>
        </w:rPr>
        <w:t xml:space="preserve">, así como a los niños entre los </w:t>
      </w:r>
      <w:r w:rsidR="00F034CA">
        <w:rPr>
          <w:b/>
          <w:lang w:val="es-ES"/>
        </w:rPr>
        <w:t xml:space="preserve">6 y 59 </w:t>
      </w:r>
      <w:r w:rsidR="006947A2">
        <w:rPr>
          <w:b/>
          <w:lang w:val="es-ES"/>
        </w:rPr>
        <w:t>meses de edad</w:t>
      </w:r>
      <w:r>
        <w:rPr>
          <w:b/>
          <w:lang w:val="es-ES"/>
        </w:rPr>
        <w:t xml:space="preserve">  </w:t>
      </w:r>
    </w:p>
    <w:p w14:paraId="7B095281" w14:textId="2FAF1686" w:rsidR="001037A5" w:rsidRPr="009020BF" w:rsidRDefault="001037A5" w:rsidP="0047552C">
      <w:pPr>
        <w:pStyle w:val="CuerpodetextoNotadePrensa"/>
        <w:rPr>
          <w:b/>
          <w:lang w:val="es-ES"/>
        </w:rPr>
      </w:pPr>
    </w:p>
    <w:p w14:paraId="25486E89" w14:textId="77777777" w:rsidR="00DD0B06" w:rsidRDefault="00DD0B06" w:rsidP="005B121A">
      <w:pPr>
        <w:pStyle w:val="CuerpodetextoNotadePrensa"/>
        <w:rPr>
          <w:b/>
          <w:lang w:val="es-ES"/>
        </w:rPr>
      </w:pPr>
    </w:p>
    <w:p w14:paraId="1599FD72" w14:textId="6A1DB784" w:rsidR="006947A2" w:rsidRPr="006947A2" w:rsidRDefault="005B121A" w:rsidP="006947A2">
      <w:pPr>
        <w:pStyle w:val="CuerpodetextoNotadePrensa"/>
        <w:rPr>
          <w:color w:val="auto"/>
          <w:lang w:val="es-ES"/>
        </w:rPr>
      </w:pPr>
      <w:r w:rsidRPr="005B121A">
        <w:rPr>
          <w:lang w:val="es-ES" w:eastAsia="es-ES"/>
        </w:rPr>
        <w:t xml:space="preserve">El Consejo de Gobierno de La Rioja ha </w:t>
      </w:r>
      <w:r>
        <w:rPr>
          <w:lang w:val="es-ES" w:eastAsia="es-ES"/>
        </w:rPr>
        <w:t xml:space="preserve">autorizado en reunión de hoy, 18 de junio, </w:t>
      </w:r>
      <w:r w:rsidRPr="005B121A">
        <w:rPr>
          <w:lang w:val="es-ES" w:eastAsia="es-ES"/>
        </w:rPr>
        <w:t>el gasto de 1</w:t>
      </w:r>
      <w:r>
        <w:rPr>
          <w:lang w:val="es-ES" w:eastAsia="es-ES"/>
        </w:rPr>
        <w:t>.531.400</w:t>
      </w:r>
      <w:r w:rsidRPr="005B121A">
        <w:rPr>
          <w:lang w:val="es-ES" w:eastAsia="es-ES"/>
        </w:rPr>
        <w:t xml:space="preserve"> euros </w:t>
      </w:r>
      <w:r>
        <w:rPr>
          <w:lang w:val="es-ES" w:eastAsia="es-ES"/>
        </w:rPr>
        <w:t>en</w:t>
      </w:r>
      <w:r w:rsidRPr="005B121A">
        <w:rPr>
          <w:lang w:val="es-ES" w:eastAsia="es-ES"/>
        </w:rPr>
        <w:t xml:space="preserve"> la adquisición de </w:t>
      </w:r>
      <w:r>
        <w:rPr>
          <w:lang w:val="es-ES" w:eastAsia="es-ES"/>
        </w:rPr>
        <w:t>95</w:t>
      </w:r>
      <w:r w:rsidRPr="005B121A">
        <w:rPr>
          <w:lang w:val="es-ES" w:eastAsia="es-ES"/>
        </w:rPr>
        <w:t>.000 dosis de vacunas frente a la gripe estacional destinadas a la campaña de vacunación 202</w:t>
      </w:r>
      <w:r>
        <w:rPr>
          <w:lang w:val="es-ES" w:eastAsia="es-ES"/>
        </w:rPr>
        <w:t>4</w:t>
      </w:r>
      <w:r w:rsidRPr="005B121A">
        <w:rPr>
          <w:lang w:val="es-ES" w:eastAsia="es-ES"/>
        </w:rPr>
        <w:t>-202</w:t>
      </w:r>
      <w:r>
        <w:rPr>
          <w:lang w:val="es-ES" w:eastAsia="es-ES"/>
        </w:rPr>
        <w:t>5</w:t>
      </w:r>
      <w:r w:rsidRPr="005B121A">
        <w:rPr>
          <w:lang w:val="es-ES" w:eastAsia="es-ES"/>
        </w:rPr>
        <w:t>.</w:t>
      </w:r>
      <w:r>
        <w:rPr>
          <w:lang w:val="es-ES" w:eastAsia="es-ES"/>
        </w:rPr>
        <w:t xml:space="preserve"> El Gobierno ha tomado esta decisión </w:t>
      </w:r>
      <w:r w:rsidR="00FE7768">
        <w:rPr>
          <w:lang w:val="es-ES" w:eastAsia="es-ES"/>
        </w:rPr>
        <w:t>en la obligación debida de actuar con carácter</w:t>
      </w:r>
      <w:r>
        <w:rPr>
          <w:lang w:val="es-ES" w:eastAsia="es-ES"/>
        </w:rPr>
        <w:t xml:space="preserve"> previsor</w:t>
      </w:r>
      <w:r w:rsidR="00F034E3">
        <w:rPr>
          <w:lang w:val="es-ES" w:eastAsia="es-ES"/>
        </w:rPr>
        <w:t xml:space="preserve"> para garantizar</w:t>
      </w:r>
      <w:r w:rsidR="00A65BD8">
        <w:rPr>
          <w:lang w:val="es-ES" w:eastAsia="es-ES"/>
        </w:rPr>
        <w:t xml:space="preserve"> el suministro de las vacunas necesarias con las que proteger a</w:t>
      </w:r>
      <w:r>
        <w:rPr>
          <w:lang w:val="es-ES" w:eastAsia="es-ES"/>
        </w:rPr>
        <w:t xml:space="preserve"> </w:t>
      </w:r>
      <w:r>
        <w:rPr>
          <w:lang w:val="es-ES"/>
        </w:rPr>
        <w:t xml:space="preserve">la </w:t>
      </w:r>
      <w:r w:rsidRPr="005B121A">
        <w:rPr>
          <w:lang w:val="es-ES"/>
        </w:rPr>
        <w:t xml:space="preserve">población </w:t>
      </w:r>
      <w:r w:rsidR="00F034E3">
        <w:rPr>
          <w:lang w:val="es-ES"/>
        </w:rPr>
        <w:t xml:space="preserve">riojana </w:t>
      </w:r>
      <w:r w:rsidRPr="005B121A">
        <w:rPr>
          <w:lang w:val="es-ES"/>
        </w:rPr>
        <w:t xml:space="preserve">de </w:t>
      </w:r>
      <w:r>
        <w:rPr>
          <w:lang w:val="es-ES"/>
        </w:rPr>
        <w:t>riesgo</w:t>
      </w:r>
      <w:r w:rsidRPr="005B121A">
        <w:rPr>
          <w:lang w:val="es-ES"/>
        </w:rPr>
        <w:t xml:space="preserve">, especialmente </w:t>
      </w:r>
      <w:r w:rsidR="00A65BD8">
        <w:rPr>
          <w:lang w:val="es-ES"/>
        </w:rPr>
        <w:t xml:space="preserve">a las </w:t>
      </w:r>
      <w:r w:rsidRPr="005B121A">
        <w:rPr>
          <w:lang w:val="es-ES"/>
        </w:rPr>
        <w:t xml:space="preserve">personas mayores de 60 años, con o sin patologías crónicas, </w:t>
      </w:r>
      <w:r w:rsidR="00FD1A7B">
        <w:rPr>
          <w:lang w:val="es-ES"/>
        </w:rPr>
        <w:t>en las</w:t>
      </w:r>
      <w:r>
        <w:rPr>
          <w:lang w:val="es-ES"/>
        </w:rPr>
        <w:t xml:space="preserve"> que el virus puede comprometer su salud</w:t>
      </w:r>
      <w:r w:rsidR="00FD1A7B">
        <w:rPr>
          <w:lang w:val="es-ES"/>
        </w:rPr>
        <w:t xml:space="preserve"> en mayor medida</w:t>
      </w:r>
      <w:r w:rsidRPr="005B121A">
        <w:rPr>
          <w:lang w:val="es-ES"/>
        </w:rPr>
        <w:t xml:space="preserve"> y ocasionar una mortalidad elevada</w:t>
      </w:r>
      <w:r w:rsidRPr="006947A2">
        <w:rPr>
          <w:color w:val="auto"/>
          <w:lang w:val="es-ES"/>
        </w:rPr>
        <w:t>.</w:t>
      </w:r>
      <w:r w:rsidR="006947A2" w:rsidRPr="006947A2">
        <w:rPr>
          <w:color w:val="auto"/>
          <w:lang w:val="es-ES"/>
        </w:rPr>
        <w:t xml:space="preserve"> </w:t>
      </w:r>
      <w:r w:rsidR="006947A2">
        <w:rPr>
          <w:color w:val="auto"/>
          <w:lang w:val="es-ES"/>
        </w:rPr>
        <w:t>La campaña también incluye</w:t>
      </w:r>
      <w:r w:rsidR="006947A2" w:rsidRPr="006947A2">
        <w:rPr>
          <w:color w:val="auto"/>
          <w:lang w:val="es-ES"/>
        </w:rPr>
        <w:t xml:space="preserve"> la vacunación sistemática para todos los niños entre 6 y 59 meses de edad.</w:t>
      </w:r>
    </w:p>
    <w:p w14:paraId="34D83D73" w14:textId="7D5088B8" w:rsidR="005B121A" w:rsidRPr="005B121A" w:rsidRDefault="005B121A" w:rsidP="005B121A">
      <w:pPr>
        <w:pStyle w:val="CuerpodetextoNotadePrensa"/>
        <w:rPr>
          <w:lang w:val="es-ES" w:eastAsia="es-ES"/>
        </w:rPr>
      </w:pPr>
    </w:p>
    <w:p w14:paraId="33C02EEC" w14:textId="111637EB" w:rsidR="00322DCD" w:rsidRDefault="005E1CAD" w:rsidP="00322DCD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El contrato, con duración hasta el 31 de diciembre de este año, se tramitará </w:t>
      </w:r>
      <w:r w:rsidR="00322DCD">
        <w:rPr>
          <w:lang w:val="es-ES" w:eastAsia="es-ES"/>
        </w:rPr>
        <w:t>a través del</w:t>
      </w:r>
      <w:r w:rsidR="005B121A" w:rsidRPr="005B121A">
        <w:rPr>
          <w:lang w:val="es-ES" w:eastAsia="es-ES"/>
        </w:rPr>
        <w:t xml:space="preserve"> acuerdo marco</w:t>
      </w:r>
      <w:r w:rsidR="00322DCD">
        <w:rPr>
          <w:lang w:val="es-ES" w:eastAsia="es-ES"/>
        </w:rPr>
        <w:t xml:space="preserve"> estatal </w:t>
      </w:r>
      <w:r w:rsidR="005B121A" w:rsidRPr="005B121A">
        <w:rPr>
          <w:lang w:val="es-ES" w:eastAsia="es-ES"/>
        </w:rPr>
        <w:t xml:space="preserve">al que </w:t>
      </w:r>
      <w:r w:rsidR="00322DCD">
        <w:rPr>
          <w:lang w:val="es-ES" w:eastAsia="es-ES"/>
        </w:rPr>
        <w:t>está suscrita</w:t>
      </w:r>
      <w:r w:rsidR="005B121A" w:rsidRPr="005B121A">
        <w:rPr>
          <w:lang w:val="es-ES" w:eastAsia="es-ES"/>
        </w:rPr>
        <w:t xml:space="preserve"> la Comunidad </w:t>
      </w:r>
      <w:r w:rsidR="00322DCD">
        <w:rPr>
          <w:lang w:val="es-ES" w:eastAsia="es-ES"/>
        </w:rPr>
        <w:t>Autónoma</w:t>
      </w:r>
      <w:r w:rsidR="00FE7768">
        <w:rPr>
          <w:lang w:val="es-ES" w:eastAsia="es-ES"/>
        </w:rPr>
        <w:t>,</w:t>
      </w:r>
      <w:r w:rsidR="005B121A" w:rsidRPr="005B121A">
        <w:rPr>
          <w:lang w:val="es-ES" w:eastAsia="es-ES"/>
        </w:rPr>
        <w:t xml:space="preserve"> </w:t>
      </w:r>
      <w:r w:rsidR="00322DCD">
        <w:rPr>
          <w:lang w:val="es-ES" w:eastAsia="es-ES"/>
        </w:rPr>
        <w:t>que fija</w:t>
      </w:r>
      <w:r w:rsidR="005B121A" w:rsidRPr="005B121A">
        <w:rPr>
          <w:lang w:val="es-ES" w:eastAsia="es-ES"/>
        </w:rPr>
        <w:t xml:space="preserve"> las condiciones de la adquisición de </w:t>
      </w:r>
      <w:r w:rsidR="00322DCD">
        <w:rPr>
          <w:lang w:val="es-ES" w:eastAsia="es-ES"/>
        </w:rPr>
        <w:t xml:space="preserve">estas vacunas. Este convenio se </w:t>
      </w:r>
      <w:r w:rsidR="00AB1AF4">
        <w:rPr>
          <w:lang w:val="es-ES" w:eastAsia="es-ES"/>
        </w:rPr>
        <w:t>firm</w:t>
      </w:r>
      <w:r w:rsidR="00322DCD">
        <w:rPr>
          <w:lang w:val="es-ES" w:eastAsia="es-ES"/>
        </w:rPr>
        <w:t>ó en septiembre de 2021 co</w:t>
      </w:r>
      <w:r w:rsidR="00322DCD" w:rsidRPr="005B121A">
        <w:rPr>
          <w:lang w:val="es-ES" w:eastAsia="es-ES"/>
        </w:rPr>
        <w:t xml:space="preserve">n una duración de dos años </w:t>
      </w:r>
      <w:r w:rsidR="00FE7768">
        <w:rPr>
          <w:lang w:val="es-ES" w:eastAsia="es-ES"/>
        </w:rPr>
        <w:t>desde</w:t>
      </w:r>
      <w:r w:rsidR="00322DCD" w:rsidRPr="005B121A">
        <w:rPr>
          <w:lang w:val="es-ES" w:eastAsia="es-ES"/>
        </w:rPr>
        <w:t xml:space="preserve"> su formalizac</w:t>
      </w:r>
      <w:r w:rsidR="00322DCD">
        <w:rPr>
          <w:lang w:val="es-ES" w:eastAsia="es-ES"/>
        </w:rPr>
        <w:t xml:space="preserve">ión. A partir de ese plazo podía </w:t>
      </w:r>
      <w:r w:rsidR="00322DCD" w:rsidRPr="005B121A">
        <w:rPr>
          <w:lang w:val="es-ES" w:eastAsia="es-ES"/>
        </w:rPr>
        <w:t>ser objeto de dos prórrogas de un año cada una</w:t>
      </w:r>
      <w:r w:rsidR="00322DCD">
        <w:rPr>
          <w:lang w:val="es-ES" w:eastAsia="es-ES"/>
        </w:rPr>
        <w:t>. La primera se formalizó en 2023 y este martes, el Consejo de Gobierno ha dado luz verde a la segunda.</w:t>
      </w:r>
    </w:p>
    <w:p w14:paraId="38BB3690" w14:textId="0129026A" w:rsidR="00F034E3" w:rsidRDefault="00F034E3" w:rsidP="00322DCD">
      <w:pPr>
        <w:pStyle w:val="CuerpodetextoNotadePrensa"/>
        <w:rPr>
          <w:lang w:val="es-ES" w:eastAsia="es-ES"/>
        </w:rPr>
      </w:pPr>
    </w:p>
    <w:p w14:paraId="1D4E56A8" w14:textId="06F41592" w:rsidR="00F034E3" w:rsidRDefault="00F034E3" w:rsidP="00322DCD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La licitación para la que se ha aprobado el gasto está dividida en tres lotes:</w:t>
      </w:r>
    </w:p>
    <w:p w14:paraId="5CEC2DDF" w14:textId="6BA8A7D0" w:rsidR="00F034E3" w:rsidRDefault="00F034E3" w:rsidP="00322DCD">
      <w:pPr>
        <w:pStyle w:val="CuerpodetextoNotadePrensa"/>
        <w:rPr>
          <w:lang w:val="es-ES" w:eastAsia="es-ES"/>
        </w:rPr>
      </w:pPr>
    </w:p>
    <w:p w14:paraId="7696C241" w14:textId="2036F4D9" w:rsidR="00CF43F0" w:rsidRDefault="00F034E3" w:rsidP="00CF43F0">
      <w:pPr>
        <w:pStyle w:val="CuerpodetextoNotadePrensa"/>
        <w:rPr>
          <w:lang w:val="es-ES"/>
        </w:rPr>
      </w:pPr>
      <w:r>
        <w:rPr>
          <w:lang w:val="es-ES" w:eastAsia="es-ES"/>
        </w:rPr>
        <w:t>-</w:t>
      </w:r>
      <w:r w:rsidR="00CF43F0" w:rsidRPr="00CF43F0">
        <w:rPr>
          <w:lang w:val="es-ES"/>
        </w:rPr>
        <w:t xml:space="preserve">Vacunas inactivadas </w:t>
      </w:r>
      <w:r w:rsidR="005A1314">
        <w:rPr>
          <w:lang w:val="es-ES"/>
        </w:rPr>
        <w:t>clásicas</w:t>
      </w:r>
      <w:r w:rsidR="00CF43F0">
        <w:rPr>
          <w:lang w:val="es-ES"/>
        </w:rPr>
        <w:t xml:space="preserve">. En total, 35.000 dosis, presupuestadas en </w:t>
      </w:r>
      <w:r w:rsidR="00123568">
        <w:rPr>
          <w:lang w:val="es-ES"/>
        </w:rPr>
        <w:t>345.800,00 euros.</w:t>
      </w:r>
    </w:p>
    <w:p w14:paraId="78EFEBDC" w14:textId="77777777" w:rsidR="00CF43F0" w:rsidRDefault="00CF43F0" w:rsidP="00CF43F0">
      <w:pPr>
        <w:pStyle w:val="CuerpodetextoNotadePrensa"/>
        <w:rPr>
          <w:lang w:val="es-ES"/>
        </w:rPr>
      </w:pPr>
    </w:p>
    <w:p w14:paraId="48E46FC7" w14:textId="333B1E43" w:rsidR="0005374F" w:rsidRDefault="00CF43F0" w:rsidP="00CF43F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5A1314">
        <w:rPr>
          <w:lang w:val="es-ES"/>
        </w:rPr>
        <w:t>Vacunas</w:t>
      </w:r>
      <w:r w:rsidR="00123568">
        <w:rPr>
          <w:lang w:val="es-ES"/>
        </w:rPr>
        <w:t xml:space="preserve"> </w:t>
      </w:r>
      <w:r w:rsidR="005A1314">
        <w:rPr>
          <w:lang w:val="es-ES"/>
        </w:rPr>
        <w:t>inactivadas</w:t>
      </w:r>
      <w:r w:rsidR="00123568">
        <w:rPr>
          <w:lang w:val="es-ES"/>
        </w:rPr>
        <w:t xml:space="preserve"> </w:t>
      </w:r>
      <w:proofErr w:type="spellStart"/>
      <w:r w:rsidR="005A1314">
        <w:rPr>
          <w:lang w:val="es-ES"/>
        </w:rPr>
        <w:t>adyuvadas</w:t>
      </w:r>
      <w:proofErr w:type="spellEnd"/>
      <w:r w:rsidR="005A1314">
        <w:rPr>
          <w:lang w:val="es-ES"/>
        </w:rPr>
        <w:t>:</w:t>
      </w:r>
      <w:r w:rsidR="00123568">
        <w:rPr>
          <w:lang w:val="es-ES"/>
        </w:rPr>
        <w:t xml:space="preserve"> </w:t>
      </w:r>
      <w:r>
        <w:rPr>
          <w:lang w:val="es-ES"/>
        </w:rPr>
        <w:t xml:space="preserve">En total, 30.000 dosis, presupuestadas en </w:t>
      </w:r>
      <w:r w:rsidR="00123568">
        <w:rPr>
          <w:lang w:val="es-ES"/>
        </w:rPr>
        <w:t>405.600,00 euros.</w:t>
      </w:r>
    </w:p>
    <w:p w14:paraId="00EA1E2F" w14:textId="77777777" w:rsidR="0005374F" w:rsidRDefault="0005374F" w:rsidP="00CF43F0">
      <w:pPr>
        <w:pStyle w:val="CuerpodetextoNotadePrensa"/>
        <w:rPr>
          <w:lang w:val="es-ES"/>
        </w:rPr>
      </w:pPr>
    </w:p>
    <w:p w14:paraId="0C889790" w14:textId="66C39A96" w:rsidR="00CF43F0" w:rsidRPr="00CF43F0" w:rsidRDefault="0005374F" w:rsidP="00CF43F0">
      <w:pPr>
        <w:pStyle w:val="CuerpodetextoNotadePrensa"/>
        <w:rPr>
          <w:lang w:val="es-ES" w:eastAsia="es-ES"/>
        </w:rPr>
      </w:pPr>
      <w:r>
        <w:rPr>
          <w:lang w:val="es-ES"/>
        </w:rPr>
        <w:t>-</w:t>
      </w:r>
      <w:r w:rsidRPr="0005374F">
        <w:rPr>
          <w:lang w:val="es-ES"/>
        </w:rPr>
        <w:t xml:space="preserve"> Vacunas inactivadas </w:t>
      </w:r>
      <w:r w:rsidR="005A1314">
        <w:rPr>
          <w:lang w:val="es-ES"/>
        </w:rPr>
        <w:t>de alta carga</w:t>
      </w:r>
      <w:r>
        <w:rPr>
          <w:lang w:val="es-ES"/>
        </w:rPr>
        <w:t>. En total, 30.000 dosis, presupuestadas en</w:t>
      </w:r>
      <w:r w:rsidR="00123568">
        <w:rPr>
          <w:lang w:val="es-ES"/>
        </w:rPr>
        <w:t xml:space="preserve"> 780.000,00 euros</w:t>
      </w:r>
      <w:r>
        <w:rPr>
          <w:lang w:val="es-ES"/>
        </w:rPr>
        <w:t xml:space="preserve"> </w:t>
      </w:r>
    </w:p>
    <w:p w14:paraId="5CCCB5B3" w14:textId="346384F2" w:rsidR="00322DCD" w:rsidRDefault="00322DCD" w:rsidP="00322DCD">
      <w:pPr>
        <w:pStyle w:val="CuerpodetextoNotadePrensa"/>
        <w:rPr>
          <w:lang w:val="es-ES" w:eastAsia="es-ES"/>
        </w:rPr>
      </w:pPr>
    </w:p>
    <w:p w14:paraId="6A32483B" w14:textId="59D25583" w:rsidR="005B121A" w:rsidRPr="005B121A" w:rsidRDefault="005B121A" w:rsidP="005B121A">
      <w:pPr>
        <w:pStyle w:val="CuerpodetextoNotadePrensa"/>
        <w:rPr>
          <w:lang w:val="es-ES" w:eastAsia="es-ES"/>
        </w:rPr>
      </w:pPr>
      <w:r w:rsidRPr="005B121A">
        <w:rPr>
          <w:lang w:val="es-ES" w:eastAsia="es-ES"/>
        </w:rPr>
        <w:t>La gripe es una enfermedad infecciosa de las vías respiratorias causada por el virus del genero Influenza, cuya mayor incidencia se produce en la época de otoño-</w:t>
      </w:r>
      <w:r w:rsidRPr="005B121A">
        <w:rPr>
          <w:lang w:val="es-ES" w:eastAsia="es-ES"/>
        </w:rPr>
        <w:lastRenderedPageBreak/>
        <w:t xml:space="preserve">invierno. </w:t>
      </w:r>
      <w:r w:rsidR="002A4656">
        <w:rPr>
          <w:lang w:val="es-ES" w:eastAsia="es-ES"/>
        </w:rPr>
        <w:t xml:space="preserve">La vacunación </w:t>
      </w:r>
      <w:r w:rsidRPr="005B121A">
        <w:rPr>
          <w:lang w:val="es-ES" w:eastAsia="es-ES"/>
        </w:rPr>
        <w:t xml:space="preserve">tiene como objetivo reducir la morbimortalidad, así como disminuir el impacto que esta enfermedad </w:t>
      </w:r>
      <w:r w:rsidR="002A4656">
        <w:rPr>
          <w:lang w:val="es-ES" w:eastAsia="es-ES"/>
        </w:rPr>
        <w:t>supone</w:t>
      </w:r>
      <w:r w:rsidRPr="005B121A">
        <w:rPr>
          <w:lang w:val="es-ES" w:eastAsia="es-ES"/>
        </w:rPr>
        <w:t xml:space="preserve"> en la sociedad</w:t>
      </w:r>
    </w:p>
    <w:p w14:paraId="2B01F32C" w14:textId="77777777" w:rsidR="002A4656" w:rsidRDefault="002A4656" w:rsidP="005B121A">
      <w:pPr>
        <w:pStyle w:val="CuerpodetextoNotadePrensa"/>
        <w:rPr>
          <w:lang w:val="es-ES" w:eastAsia="es-ES"/>
        </w:rPr>
      </w:pPr>
    </w:p>
    <w:p w14:paraId="385B5720" w14:textId="20285C3D" w:rsidR="0081092C" w:rsidRPr="003F40C5" w:rsidRDefault="005B121A" w:rsidP="003F40C5">
      <w:pPr>
        <w:pStyle w:val="CuerpodetextoNotadePrensa"/>
        <w:rPr>
          <w:lang w:val="es-ES"/>
        </w:rPr>
      </w:pPr>
      <w:r w:rsidRPr="005B121A">
        <w:rPr>
          <w:lang w:val="es-ES" w:eastAsia="es-ES"/>
        </w:rPr>
        <w:t>En La Rioja, la campaña de vacunación antigripal 202</w:t>
      </w:r>
      <w:r w:rsidR="004577B8">
        <w:rPr>
          <w:lang w:val="es-ES" w:eastAsia="es-ES"/>
        </w:rPr>
        <w:t>3</w:t>
      </w:r>
      <w:r w:rsidRPr="005B121A">
        <w:rPr>
          <w:lang w:val="es-ES" w:eastAsia="es-ES"/>
        </w:rPr>
        <w:t>-202</w:t>
      </w:r>
      <w:r w:rsidR="004577B8">
        <w:rPr>
          <w:lang w:val="es-ES" w:eastAsia="es-ES"/>
        </w:rPr>
        <w:t>4</w:t>
      </w:r>
      <w:r w:rsidRPr="005B121A">
        <w:rPr>
          <w:lang w:val="es-ES" w:eastAsia="es-ES"/>
        </w:rPr>
        <w:t xml:space="preserve"> dio comienzo e</w:t>
      </w:r>
      <w:r w:rsidR="00123568">
        <w:rPr>
          <w:lang w:val="es-ES" w:eastAsia="es-ES"/>
        </w:rPr>
        <w:t>l pasado 2</w:t>
      </w:r>
      <w:r w:rsidR="006947A2">
        <w:rPr>
          <w:lang w:val="es-ES" w:eastAsia="es-ES"/>
        </w:rPr>
        <w:t xml:space="preserve"> </w:t>
      </w:r>
      <w:r w:rsidR="004577B8">
        <w:rPr>
          <w:lang w:val="es-ES" w:eastAsia="es-ES"/>
        </w:rPr>
        <w:t>de octubre</w:t>
      </w:r>
      <w:r w:rsidRPr="005B121A">
        <w:rPr>
          <w:lang w:val="es-ES" w:eastAsia="es-ES"/>
        </w:rPr>
        <w:t xml:space="preserve"> </w:t>
      </w:r>
      <w:r w:rsidR="004577B8">
        <w:rPr>
          <w:lang w:val="es-ES" w:eastAsia="es-ES"/>
        </w:rPr>
        <w:t>entre los usuarios de r</w:t>
      </w:r>
      <w:r w:rsidRPr="005B121A">
        <w:rPr>
          <w:lang w:val="es-ES" w:eastAsia="es-ES"/>
        </w:rPr>
        <w:t xml:space="preserve">esidencias de personas mayores. En el resto de la población comenzó el </w:t>
      </w:r>
      <w:r w:rsidR="00123568">
        <w:rPr>
          <w:lang w:val="es-ES" w:eastAsia="es-ES"/>
        </w:rPr>
        <w:t xml:space="preserve">9 de octubre </w:t>
      </w:r>
      <w:r w:rsidRPr="005B121A">
        <w:rPr>
          <w:lang w:val="es-ES" w:eastAsia="es-ES"/>
        </w:rPr>
        <w:t>y se prolongó hasta el</w:t>
      </w:r>
      <w:r w:rsidR="00123568">
        <w:rPr>
          <w:lang w:val="es-ES" w:eastAsia="es-ES"/>
        </w:rPr>
        <w:t xml:space="preserve"> 31 de marzo</w:t>
      </w:r>
      <w:r w:rsidRPr="005B121A">
        <w:rPr>
          <w:lang w:val="es-ES" w:eastAsia="es-ES"/>
        </w:rPr>
        <w:t xml:space="preserve">. </w:t>
      </w:r>
      <w:r w:rsidR="003A199E">
        <w:rPr>
          <w:lang w:val="es-ES"/>
        </w:rPr>
        <w:t>El</w:t>
      </w:r>
      <w:r w:rsidR="0081092C" w:rsidRPr="003F40C5">
        <w:rPr>
          <w:lang w:val="es-ES"/>
        </w:rPr>
        <w:t xml:space="preserve"> porcentaje de vacunación </w:t>
      </w:r>
      <w:r w:rsidR="003A199E">
        <w:rPr>
          <w:lang w:val="es-ES"/>
        </w:rPr>
        <w:t xml:space="preserve">fue </w:t>
      </w:r>
      <w:r w:rsidR="0081092C" w:rsidRPr="003F40C5">
        <w:rPr>
          <w:lang w:val="es-ES"/>
        </w:rPr>
        <w:t>del 25,15% en toda la población</w:t>
      </w:r>
      <w:r w:rsidR="003A199E">
        <w:rPr>
          <w:lang w:val="es-ES"/>
        </w:rPr>
        <w:t xml:space="preserve"> y, p</w:t>
      </w:r>
      <w:r w:rsidR="003F40C5">
        <w:rPr>
          <w:lang w:val="es-ES"/>
        </w:rPr>
        <w:t>or grupos de edad, l</w:t>
      </w:r>
      <w:r w:rsidR="0081092C" w:rsidRPr="003F40C5">
        <w:rPr>
          <w:lang w:val="es-ES"/>
        </w:rPr>
        <w:t>as coberturas fueron las siguientes:</w:t>
      </w:r>
    </w:p>
    <w:p w14:paraId="2BDDBEAB" w14:textId="4023629D" w:rsidR="009D3220" w:rsidRPr="003F40C5" w:rsidRDefault="009D3220" w:rsidP="0047552C">
      <w:pPr>
        <w:pStyle w:val="CuerpodetextoNotadePrensa"/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2191"/>
      </w:tblGrid>
      <w:tr w:rsidR="003F40C5" w:rsidRPr="003F40C5" w14:paraId="71C96A07" w14:textId="77777777" w:rsidTr="009F1105">
        <w:trPr>
          <w:jc w:val="center"/>
        </w:trPr>
        <w:tc>
          <w:tcPr>
            <w:tcW w:w="5027" w:type="dxa"/>
            <w:tcBorders>
              <w:top w:val="double" w:sz="4" w:space="0" w:color="auto"/>
              <w:left w:val="nil"/>
            </w:tcBorders>
            <w:shd w:val="clear" w:color="auto" w:fill="auto"/>
          </w:tcPr>
          <w:p w14:paraId="7490EE85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Población ≥ 75 años</w:t>
            </w:r>
          </w:p>
        </w:tc>
        <w:tc>
          <w:tcPr>
            <w:tcW w:w="2191" w:type="dxa"/>
            <w:tcBorders>
              <w:top w:val="double" w:sz="4" w:space="0" w:color="auto"/>
              <w:right w:val="nil"/>
            </w:tcBorders>
            <w:shd w:val="clear" w:color="auto" w:fill="auto"/>
          </w:tcPr>
          <w:p w14:paraId="771B6A49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79,16%</w:t>
            </w:r>
          </w:p>
        </w:tc>
      </w:tr>
      <w:tr w:rsidR="003F40C5" w:rsidRPr="003F40C5" w14:paraId="1AECF375" w14:textId="77777777" w:rsidTr="009F1105">
        <w:trPr>
          <w:trHeight w:val="271"/>
          <w:jc w:val="center"/>
        </w:trPr>
        <w:tc>
          <w:tcPr>
            <w:tcW w:w="5027" w:type="dxa"/>
            <w:tcBorders>
              <w:left w:val="nil"/>
            </w:tcBorders>
            <w:shd w:val="clear" w:color="auto" w:fill="auto"/>
          </w:tcPr>
          <w:p w14:paraId="56F583F4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Población 65-74 años</w:t>
            </w:r>
          </w:p>
        </w:tc>
        <w:tc>
          <w:tcPr>
            <w:tcW w:w="2191" w:type="dxa"/>
            <w:tcBorders>
              <w:right w:val="nil"/>
            </w:tcBorders>
            <w:shd w:val="clear" w:color="auto" w:fill="auto"/>
          </w:tcPr>
          <w:p w14:paraId="23D419C2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66,91%</w:t>
            </w:r>
          </w:p>
        </w:tc>
      </w:tr>
      <w:tr w:rsidR="003F40C5" w:rsidRPr="003F40C5" w14:paraId="057294AD" w14:textId="77777777" w:rsidTr="009F1105">
        <w:trPr>
          <w:jc w:val="center"/>
        </w:trPr>
        <w:tc>
          <w:tcPr>
            <w:tcW w:w="5027" w:type="dxa"/>
            <w:tcBorders>
              <w:left w:val="nil"/>
            </w:tcBorders>
            <w:shd w:val="clear" w:color="auto" w:fill="auto"/>
          </w:tcPr>
          <w:p w14:paraId="0F448A07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Población 60-64 años</w:t>
            </w:r>
          </w:p>
        </w:tc>
        <w:tc>
          <w:tcPr>
            <w:tcW w:w="2191" w:type="dxa"/>
            <w:tcBorders>
              <w:right w:val="nil"/>
            </w:tcBorders>
            <w:shd w:val="clear" w:color="auto" w:fill="auto"/>
          </w:tcPr>
          <w:p w14:paraId="536FDCB3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38,84%</w:t>
            </w:r>
          </w:p>
        </w:tc>
      </w:tr>
      <w:tr w:rsidR="003F40C5" w:rsidRPr="003F40C5" w14:paraId="27201C95" w14:textId="77777777" w:rsidTr="009F1105">
        <w:trPr>
          <w:jc w:val="center"/>
        </w:trPr>
        <w:tc>
          <w:tcPr>
            <w:tcW w:w="5027" w:type="dxa"/>
            <w:tcBorders>
              <w:left w:val="nil"/>
            </w:tcBorders>
            <w:shd w:val="clear" w:color="auto" w:fill="auto"/>
          </w:tcPr>
          <w:p w14:paraId="17BE5591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Población 5-59 años</w:t>
            </w:r>
          </w:p>
        </w:tc>
        <w:tc>
          <w:tcPr>
            <w:tcW w:w="2191" w:type="dxa"/>
            <w:tcBorders>
              <w:right w:val="nil"/>
            </w:tcBorders>
            <w:shd w:val="clear" w:color="auto" w:fill="auto"/>
          </w:tcPr>
          <w:p w14:paraId="7BE54F4C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7,58%</w:t>
            </w:r>
          </w:p>
        </w:tc>
      </w:tr>
      <w:tr w:rsidR="003F40C5" w:rsidRPr="003F40C5" w14:paraId="37044D47" w14:textId="77777777" w:rsidTr="009F1105">
        <w:trPr>
          <w:jc w:val="center"/>
        </w:trPr>
        <w:tc>
          <w:tcPr>
            <w:tcW w:w="5027" w:type="dxa"/>
            <w:tcBorders>
              <w:left w:val="nil"/>
            </w:tcBorders>
            <w:shd w:val="clear" w:color="auto" w:fill="auto"/>
          </w:tcPr>
          <w:p w14:paraId="15F55147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Población 6 meses-59 meses</w:t>
            </w:r>
          </w:p>
        </w:tc>
        <w:tc>
          <w:tcPr>
            <w:tcW w:w="2191" w:type="dxa"/>
            <w:tcBorders>
              <w:right w:val="nil"/>
            </w:tcBorders>
            <w:shd w:val="clear" w:color="auto" w:fill="auto"/>
          </w:tcPr>
          <w:p w14:paraId="7F3BDFC4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42,84%</w:t>
            </w:r>
          </w:p>
        </w:tc>
      </w:tr>
      <w:tr w:rsidR="003F40C5" w:rsidRPr="003F40C5" w14:paraId="1E127858" w14:textId="77777777" w:rsidTr="009F1105">
        <w:trPr>
          <w:jc w:val="center"/>
        </w:trPr>
        <w:tc>
          <w:tcPr>
            <w:tcW w:w="5027" w:type="dxa"/>
            <w:tcBorders>
              <w:left w:val="nil"/>
            </w:tcBorders>
            <w:shd w:val="clear" w:color="auto" w:fill="auto"/>
          </w:tcPr>
          <w:p w14:paraId="3B156600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Residencias personas mayores</w:t>
            </w:r>
          </w:p>
        </w:tc>
        <w:tc>
          <w:tcPr>
            <w:tcW w:w="2191" w:type="dxa"/>
            <w:tcBorders>
              <w:right w:val="nil"/>
            </w:tcBorders>
            <w:shd w:val="clear" w:color="auto" w:fill="auto"/>
          </w:tcPr>
          <w:p w14:paraId="3EF6D33C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92,55%</w:t>
            </w:r>
          </w:p>
        </w:tc>
      </w:tr>
      <w:tr w:rsidR="003F40C5" w:rsidRPr="003F40C5" w14:paraId="4EC7BBC0" w14:textId="77777777" w:rsidTr="009F1105">
        <w:trPr>
          <w:jc w:val="center"/>
        </w:trPr>
        <w:tc>
          <w:tcPr>
            <w:tcW w:w="5027" w:type="dxa"/>
            <w:tcBorders>
              <w:left w:val="nil"/>
            </w:tcBorders>
            <w:shd w:val="clear" w:color="auto" w:fill="auto"/>
          </w:tcPr>
          <w:p w14:paraId="459F8FC0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Embarazadas</w:t>
            </w:r>
          </w:p>
        </w:tc>
        <w:tc>
          <w:tcPr>
            <w:tcW w:w="2191" w:type="dxa"/>
            <w:tcBorders>
              <w:right w:val="nil"/>
            </w:tcBorders>
            <w:shd w:val="clear" w:color="auto" w:fill="auto"/>
          </w:tcPr>
          <w:p w14:paraId="155A930B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68,72%</w:t>
            </w:r>
          </w:p>
        </w:tc>
      </w:tr>
      <w:tr w:rsidR="003F40C5" w:rsidRPr="003F40C5" w14:paraId="6E65C930" w14:textId="77777777" w:rsidTr="009F1105">
        <w:trPr>
          <w:jc w:val="center"/>
        </w:trPr>
        <w:tc>
          <w:tcPr>
            <w:tcW w:w="50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7A9BC6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Profesionales sanitarios</w:t>
            </w:r>
          </w:p>
        </w:tc>
        <w:tc>
          <w:tcPr>
            <w:tcW w:w="21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6F1C3" w14:textId="77777777" w:rsidR="003F40C5" w:rsidRPr="003F40C5" w:rsidRDefault="003F40C5" w:rsidP="003F40C5">
            <w:pPr>
              <w:pStyle w:val="CuerpodetextoNotadePrensa"/>
              <w:rPr>
                <w:lang w:eastAsia="es-ES"/>
              </w:rPr>
            </w:pPr>
            <w:r w:rsidRPr="003F40C5">
              <w:rPr>
                <w:lang w:eastAsia="es-ES"/>
              </w:rPr>
              <w:t>36,49%</w:t>
            </w:r>
          </w:p>
        </w:tc>
      </w:tr>
    </w:tbl>
    <w:p w14:paraId="288AEC1D" w14:textId="77777777" w:rsidR="003F40C5" w:rsidRPr="003F40C5" w:rsidRDefault="003F40C5" w:rsidP="003F40C5">
      <w:pPr>
        <w:pStyle w:val="CuerpodetextoNotadePrensa"/>
        <w:rPr>
          <w:lang w:val="es-ES"/>
        </w:rPr>
      </w:pPr>
      <w:bookmarkStart w:id="2" w:name="_GoBack"/>
      <w:bookmarkEnd w:id="2"/>
    </w:p>
    <w:sectPr w:rsidR="003F40C5" w:rsidRPr="003F40C5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1AE17" w14:textId="77777777" w:rsidR="00575C17" w:rsidRDefault="00575C17" w:rsidP="0069392B">
      <w:r>
        <w:separator/>
      </w:r>
    </w:p>
  </w:endnote>
  <w:endnote w:type="continuationSeparator" w:id="0">
    <w:p w14:paraId="7E20486D" w14:textId="77777777" w:rsidR="00575C17" w:rsidRDefault="00575C1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2763A" w14:textId="77777777" w:rsidR="00575C17" w:rsidRDefault="00575C17" w:rsidP="0069392B">
      <w:r>
        <w:separator/>
      </w:r>
    </w:p>
  </w:footnote>
  <w:footnote w:type="continuationSeparator" w:id="0">
    <w:p w14:paraId="52189A0B" w14:textId="77777777" w:rsidR="00575C17" w:rsidRDefault="00575C1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42406"/>
    <w:multiLevelType w:val="hybridMultilevel"/>
    <w:tmpl w:val="4A062A98"/>
    <w:lvl w:ilvl="0" w:tplc="B99AC6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374F"/>
    <w:rsid w:val="000579A8"/>
    <w:rsid w:val="00061701"/>
    <w:rsid w:val="000F3F3C"/>
    <w:rsid w:val="00100590"/>
    <w:rsid w:val="001037A5"/>
    <w:rsid w:val="00123568"/>
    <w:rsid w:val="001542F7"/>
    <w:rsid w:val="0018426A"/>
    <w:rsid w:val="0018459D"/>
    <w:rsid w:val="001D5774"/>
    <w:rsid w:val="0020207D"/>
    <w:rsid w:val="00240D3F"/>
    <w:rsid w:val="00250CDB"/>
    <w:rsid w:val="00261510"/>
    <w:rsid w:val="00274686"/>
    <w:rsid w:val="002873D9"/>
    <w:rsid w:val="002A4656"/>
    <w:rsid w:val="002C41E9"/>
    <w:rsid w:val="002C5DF7"/>
    <w:rsid w:val="002D3B2D"/>
    <w:rsid w:val="002E4839"/>
    <w:rsid w:val="002E72EE"/>
    <w:rsid w:val="00307CD0"/>
    <w:rsid w:val="00322DCD"/>
    <w:rsid w:val="003364A2"/>
    <w:rsid w:val="0034365A"/>
    <w:rsid w:val="00346ABB"/>
    <w:rsid w:val="0035439E"/>
    <w:rsid w:val="0039046B"/>
    <w:rsid w:val="003A199E"/>
    <w:rsid w:val="003A3E60"/>
    <w:rsid w:val="003C1605"/>
    <w:rsid w:val="003E14AA"/>
    <w:rsid w:val="003F40C5"/>
    <w:rsid w:val="003F5B9E"/>
    <w:rsid w:val="00417179"/>
    <w:rsid w:val="00422E86"/>
    <w:rsid w:val="00435C9E"/>
    <w:rsid w:val="004577B8"/>
    <w:rsid w:val="0047552C"/>
    <w:rsid w:val="00477863"/>
    <w:rsid w:val="00495B58"/>
    <w:rsid w:val="00495D1F"/>
    <w:rsid w:val="004D420D"/>
    <w:rsid w:val="004D594F"/>
    <w:rsid w:val="0050645C"/>
    <w:rsid w:val="00544B53"/>
    <w:rsid w:val="00574433"/>
    <w:rsid w:val="00575C17"/>
    <w:rsid w:val="0058176E"/>
    <w:rsid w:val="00596975"/>
    <w:rsid w:val="00597247"/>
    <w:rsid w:val="005A1314"/>
    <w:rsid w:val="005B121A"/>
    <w:rsid w:val="005E1CAD"/>
    <w:rsid w:val="006327D1"/>
    <w:rsid w:val="006563C4"/>
    <w:rsid w:val="00673FFA"/>
    <w:rsid w:val="0069392B"/>
    <w:rsid w:val="006947A2"/>
    <w:rsid w:val="006A7DBC"/>
    <w:rsid w:val="006B0802"/>
    <w:rsid w:val="00706970"/>
    <w:rsid w:val="00716285"/>
    <w:rsid w:val="0074158B"/>
    <w:rsid w:val="007A7E63"/>
    <w:rsid w:val="007C7121"/>
    <w:rsid w:val="007D6FFF"/>
    <w:rsid w:val="007E4491"/>
    <w:rsid w:val="0081092C"/>
    <w:rsid w:val="00843CDC"/>
    <w:rsid w:val="0087541B"/>
    <w:rsid w:val="00892C54"/>
    <w:rsid w:val="008B05E4"/>
    <w:rsid w:val="008E7E40"/>
    <w:rsid w:val="009020BF"/>
    <w:rsid w:val="00917E39"/>
    <w:rsid w:val="009735EC"/>
    <w:rsid w:val="00977EFE"/>
    <w:rsid w:val="009D3220"/>
    <w:rsid w:val="009E7835"/>
    <w:rsid w:val="00A141BE"/>
    <w:rsid w:val="00A347CA"/>
    <w:rsid w:val="00A6238F"/>
    <w:rsid w:val="00A65BD8"/>
    <w:rsid w:val="00A756FA"/>
    <w:rsid w:val="00AA0B41"/>
    <w:rsid w:val="00AB1AF4"/>
    <w:rsid w:val="00AC6E30"/>
    <w:rsid w:val="00B273C9"/>
    <w:rsid w:val="00B93DBC"/>
    <w:rsid w:val="00B97FCD"/>
    <w:rsid w:val="00BA5D06"/>
    <w:rsid w:val="00BB72AA"/>
    <w:rsid w:val="00BE70B2"/>
    <w:rsid w:val="00C05A43"/>
    <w:rsid w:val="00C22F34"/>
    <w:rsid w:val="00C648E7"/>
    <w:rsid w:val="00C83CF8"/>
    <w:rsid w:val="00CC08D8"/>
    <w:rsid w:val="00CF43F0"/>
    <w:rsid w:val="00D017AC"/>
    <w:rsid w:val="00D312AD"/>
    <w:rsid w:val="00D44FB7"/>
    <w:rsid w:val="00D53E08"/>
    <w:rsid w:val="00DD0856"/>
    <w:rsid w:val="00DD0B06"/>
    <w:rsid w:val="00E41609"/>
    <w:rsid w:val="00E517E4"/>
    <w:rsid w:val="00E63FE9"/>
    <w:rsid w:val="00E83B95"/>
    <w:rsid w:val="00ED47D0"/>
    <w:rsid w:val="00F034CA"/>
    <w:rsid w:val="00F034E3"/>
    <w:rsid w:val="00F671DE"/>
    <w:rsid w:val="00F8126E"/>
    <w:rsid w:val="00F92DFC"/>
    <w:rsid w:val="00FA4DD6"/>
    <w:rsid w:val="00FC7DF8"/>
    <w:rsid w:val="00FD1A7B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1A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AF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44F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4F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4FB7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4F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4FB7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8</cp:revision>
  <cp:lastPrinted>2024-06-17T15:01:00Z</cp:lastPrinted>
  <dcterms:created xsi:type="dcterms:W3CDTF">2024-06-17T12:04:00Z</dcterms:created>
  <dcterms:modified xsi:type="dcterms:W3CDTF">2024-06-17T15:24:00Z</dcterms:modified>
</cp:coreProperties>
</file>