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1B6FAB6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869DC">
        <w:t>22</w:t>
      </w:r>
      <w:r w:rsidR="00E517E4" w:rsidRPr="00A756FA">
        <w:t>/</w:t>
      </w:r>
      <w:r w:rsidR="008869DC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3B69873" w:rsidR="00261510" w:rsidRPr="004D594F" w:rsidRDefault="003F619C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5555DB">
        <w:t xml:space="preserve">Consejo de </w:t>
      </w:r>
      <w:r>
        <w:t xml:space="preserve">Gobierno </w:t>
      </w:r>
      <w:r w:rsidR="002C032E">
        <w:t>destina</w:t>
      </w:r>
      <w:r>
        <w:t xml:space="preserve"> </w:t>
      </w:r>
      <w:r w:rsidR="002C032E">
        <w:t xml:space="preserve">más de 6,7 millones </w:t>
      </w:r>
      <w:r w:rsidR="005555DB">
        <w:t>a</w:t>
      </w:r>
      <w:r w:rsidR="002C032E">
        <w:t xml:space="preserve"> garantizar</w:t>
      </w:r>
      <w:r w:rsidR="00A236B3">
        <w:t xml:space="preserve"> </w:t>
      </w:r>
      <w:r w:rsidR="006C3A2C">
        <w:t xml:space="preserve">la provisión </w:t>
      </w:r>
      <w:r w:rsidR="005555DB">
        <w:t>d</w:t>
      </w:r>
      <w:r w:rsidR="0024763B">
        <w:t xml:space="preserve">e </w:t>
      </w:r>
      <w:r w:rsidR="006C3A2C">
        <w:t xml:space="preserve">suministros </w:t>
      </w:r>
      <w:r w:rsidR="00A236B3">
        <w:t xml:space="preserve">a </w:t>
      </w:r>
      <w:r w:rsidR="00AA7DF6">
        <w:t>6</w:t>
      </w:r>
      <w:r w:rsidR="00A236B3">
        <w:t xml:space="preserve"> servicios </w:t>
      </w:r>
      <w:r w:rsidR="006C3A2C">
        <w:t>sanitarios</w:t>
      </w:r>
      <w:r w:rsidR="002C032E">
        <w:t xml:space="preserve"> </w:t>
      </w:r>
      <w:r w:rsidR="00F8570F">
        <w:t>de</w:t>
      </w:r>
      <w:r w:rsidR="005555DB">
        <w:t>l SERIS</w:t>
      </w:r>
      <w:r w:rsidR="00AA7DF6">
        <w:t>, así como</w:t>
      </w:r>
      <w:r w:rsidR="005555DB">
        <w:t xml:space="preserve"> de </w:t>
      </w:r>
      <w:r w:rsidR="00AA7DF6">
        <w:t>4</w:t>
      </w:r>
      <w:r w:rsidR="005555DB">
        <w:t xml:space="preserve"> medicamentos</w:t>
      </w:r>
      <w:r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476E2F0F" w:rsidR="0020207D" w:rsidRPr="005C24C0" w:rsidRDefault="00C13485" w:rsidP="0047552C">
      <w:pPr>
        <w:pStyle w:val="CuerpodetextoNotadePrensa"/>
        <w:rPr>
          <w:b/>
          <w:lang w:val="es-ES"/>
        </w:rPr>
      </w:pPr>
      <w:r w:rsidRPr="005C24C0">
        <w:rPr>
          <w:b/>
          <w:lang w:val="es-ES"/>
        </w:rPr>
        <w:t xml:space="preserve">La finalidad del </w:t>
      </w:r>
      <w:r w:rsidR="00A25A4D">
        <w:rPr>
          <w:b/>
          <w:lang w:val="es-ES"/>
        </w:rPr>
        <w:t>S</w:t>
      </w:r>
      <w:r w:rsidRPr="005C24C0">
        <w:rPr>
          <w:b/>
          <w:lang w:val="es-ES"/>
        </w:rPr>
        <w:t xml:space="preserve">ervicio de </w:t>
      </w:r>
      <w:r w:rsidR="00A25A4D">
        <w:rPr>
          <w:b/>
          <w:lang w:val="es-ES"/>
        </w:rPr>
        <w:t>F</w:t>
      </w:r>
      <w:r w:rsidRPr="005C24C0">
        <w:rPr>
          <w:b/>
          <w:lang w:val="es-ES"/>
        </w:rPr>
        <w:t xml:space="preserve">armacia es que cada paciente reciba </w:t>
      </w:r>
      <w:r w:rsidR="00A25A4D">
        <w:rPr>
          <w:b/>
          <w:lang w:val="es-ES"/>
        </w:rPr>
        <w:t>la</w:t>
      </w:r>
      <w:r w:rsidRPr="005C24C0">
        <w:rPr>
          <w:b/>
          <w:lang w:val="es-ES"/>
        </w:rPr>
        <w:t xml:space="preserve"> terapia adecuada, de la mejor calidad y en el momento oportuno, así como fomentar el uso racional del medicamento y contribuir a optimizar la farmacoterapia de los pacientes ingresados y externos</w:t>
      </w:r>
    </w:p>
    <w:p w14:paraId="43B83B3E" w14:textId="77777777" w:rsidR="0020207D" w:rsidRPr="008869DC" w:rsidRDefault="0020207D" w:rsidP="0047552C">
      <w:pPr>
        <w:pStyle w:val="CuerpodetextoNotadePrensa"/>
        <w:rPr>
          <w:lang w:val="es-ES"/>
        </w:rPr>
      </w:pPr>
    </w:p>
    <w:p w14:paraId="0DC598FC" w14:textId="77777777" w:rsidR="0020207D" w:rsidRPr="008869DC" w:rsidRDefault="0020207D" w:rsidP="0047552C">
      <w:pPr>
        <w:pStyle w:val="CuerpodetextoNotadePrensa"/>
        <w:rPr>
          <w:lang w:val="es-ES"/>
        </w:rPr>
      </w:pPr>
    </w:p>
    <w:p w14:paraId="15D72023" w14:textId="50E8D7FC" w:rsidR="00E41365" w:rsidRDefault="00E41365" w:rsidP="00E41365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autorizado al Servicio Riojano de Salud (SERIS) el gasto de más de 6,7 millones de euros para </w:t>
      </w:r>
      <w:r w:rsidR="0024763B">
        <w:rPr>
          <w:lang w:val="es-ES"/>
        </w:rPr>
        <w:t>garantizar</w:t>
      </w:r>
      <w:r w:rsidR="005555DB" w:rsidRPr="005555DB">
        <w:rPr>
          <w:lang w:val="es-ES"/>
        </w:rPr>
        <w:t xml:space="preserve"> </w:t>
      </w:r>
      <w:r w:rsidR="005555DB">
        <w:rPr>
          <w:lang w:val="es-ES"/>
        </w:rPr>
        <w:t>la provisión de suministros empleados en seis servicios sanitarios, así como</w:t>
      </w:r>
      <w:r w:rsidR="00CA2BB7">
        <w:rPr>
          <w:lang w:val="es-ES"/>
        </w:rPr>
        <w:t xml:space="preserve"> </w:t>
      </w:r>
      <w:r w:rsidR="005555DB">
        <w:rPr>
          <w:lang w:val="es-ES"/>
        </w:rPr>
        <w:t>la</w:t>
      </w:r>
      <w:r>
        <w:rPr>
          <w:lang w:val="es-ES"/>
        </w:rPr>
        <w:t xml:space="preserve"> adquisición de </w:t>
      </w:r>
      <w:r w:rsidR="0024763B">
        <w:rPr>
          <w:lang w:val="es-ES"/>
        </w:rPr>
        <w:t>cuatro</w:t>
      </w:r>
      <w:r>
        <w:rPr>
          <w:lang w:val="es-ES"/>
        </w:rPr>
        <w:t xml:space="preserve"> medicamentos</w:t>
      </w:r>
      <w:r w:rsidR="005555DB">
        <w:rPr>
          <w:lang w:val="es-ES"/>
        </w:rPr>
        <w:t xml:space="preserve">. </w:t>
      </w:r>
      <w:r>
        <w:rPr>
          <w:lang w:val="es-ES"/>
        </w:rPr>
        <w:t xml:space="preserve"> </w:t>
      </w:r>
    </w:p>
    <w:p w14:paraId="15C4EFB2" w14:textId="77777777" w:rsidR="0020207D" w:rsidRPr="008869DC" w:rsidRDefault="0020207D" w:rsidP="0047552C">
      <w:pPr>
        <w:pStyle w:val="CuerpodetextoNotadePrensa"/>
        <w:rPr>
          <w:lang w:val="es-ES"/>
        </w:rPr>
      </w:pPr>
    </w:p>
    <w:p w14:paraId="2D686C1D" w14:textId="08EFF9C1" w:rsidR="005E4AE6" w:rsidRDefault="00CA2BB7" w:rsidP="005E4AE6">
      <w:pPr>
        <w:pStyle w:val="CuerpodetextoNotadePrensa"/>
        <w:rPr>
          <w:rFonts w:eastAsia="Times New Roman"/>
          <w:color w:val="212121"/>
          <w:lang w:val="es-ES" w:eastAsia="es-ES"/>
        </w:rPr>
      </w:pPr>
      <w:r>
        <w:rPr>
          <w:rFonts w:eastAsia="Times New Roman"/>
          <w:color w:val="212121"/>
          <w:lang w:val="es-ES" w:eastAsia="es-ES"/>
        </w:rPr>
        <w:t>Por una parte</w:t>
      </w:r>
      <w:r w:rsidRPr="00CA2BB7">
        <w:rPr>
          <w:rFonts w:eastAsia="Times New Roman"/>
          <w:color w:val="212121"/>
          <w:lang w:val="es-ES" w:eastAsia="es-ES"/>
        </w:rPr>
        <w:t xml:space="preserve">, el Ejecutivo regional ha dado luz verde al SERIS para </w:t>
      </w:r>
      <w:r w:rsidR="00E73F4B">
        <w:rPr>
          <w:rFonts w:eastAsia="Times New Roman"/>
          <w:color w:val="212121"/>
          <w:lang w:val="es-ES" w:eastAsia="es-ES"/>
        </w:rPr>
        <w:t>que invierta</w:t>
      </w:r>
      <w:r>
        <w:rPr>
          <w:rFonts w:eastAsia="Times New Roman"/>
          <w:color w:val="212121"/>
          <w:lang w:val="es-ES" w:eastAsia="es-ES"/>
        </w:rPr>
        <w:t xml:space="preserve"> 3,92 millones de euros en</w:t>
      </w:r>
      <w:r w:rsidR="00A05A26">
        <w:rPr>
          <w:rFonts w:eastAsia="Times New Roman"/>
          <w:color w:val="212121"/>
          <w:lang w:val="es-ES" w:eastAsia="es-ES"/>
        </w:rPr>
        <w:t xml:space="preserve"> prorrogar durante 2025 el abastecimiento </w:t>
      </w:r>
      <w:r w:rsidR="0099133A">
        <w:rPr>
          <w:rFonts w:eastAsia="Times New Roman"/>
          <w:color w:val="212121"/>
          <w:lang w:val="es-ES" w:eastAsia="es-ES"/>
        </w:rPr>
        <w:t>de</w:t>
      </w:r>
      <w:r w:rsidR="005E4AE6">
        <w:rPr>
          <w:rFonts w:eastAsia="Times New Roman"/>
          <w:color w:val="212121"/>
          <w:lang w:val="es-ES" w:eastAsia="es-ES"/>
        </w:rPr>
        <w:t xml:space="preserve"> suministros</w:t>
      </w:r>
      <w:r w:rsidR="0099133A">
        <w:rPr>
          <w:rFonts w:eastAsia="Times New Roman"/>
          <w:color w:val="212121"/>
          <w:lang w:val="es-ES" w:eastAsia="es-ES"/>
        </w:rPr>
        <w:t xml:space="preserve"> en </w:t>
      </w:r>
      <w:r w:rsidR="00C718EB">
        <w:rPr>
          <w:rFonts w:eastAsia="Times New Roman"/>
          <w:color w:val="212121"/>
          <w:lang w:val="es-ES" w:eastAsia="es-ES"/>
        </w:rPr>
        <w:t xml:space="preserve">estos cuatro </w:t>
      </w:r>
      <w:r w:rsidR="0099133A">
        <w:rPr>
          <w:rFonts w:eastAsia="Times New Roman"/>
          <w:color w:val="212121"/>
          <w:lang w:val="es-ES" w:eastAsia="es-ES"/>
        </w:rPr>
        <w:t>servicios</w:t>
      </w:r>
      <w:r w:rsidR="005E4AE6">
        <w:rPr>
          <w:rFonts w:eastAsia="Times New Roman"/>
          <w:color w:val="212121"/>
          <w:lang w:val="es-ES" w:eastAsia="es-ES"/>
        </w:rPr>
        <w:t xml:space="preserve">: </w:t>
      </w:r>
    </w:p>
    <w:p w14:paraId="119A9B30" w14:textId="734040B9" w:rsidR="00A05A26" w:rsidRDefault="00A05A26" w:rsidP="005E4AE6">
      <w:pPr>
        <w:pStyle w:val="CuerpodetextoNotadePrensa"/>
        <w:rPr>
          <w:rFonts w:eastAsia="Times New Roman"/>
          <w:color w:val="212121"/>
          <w:lang w:val="es-ES" w:eastAsia="es-ES"/>
        </w:rPr>
      </w:pPr>
    </w:p>
    <w:p w14:paraId="23F9A522" w14:textId="29578972" w:rsidR="0099133A" w:rsidRDefault="0099133A" w:rsidP="0099133A">
      <w:pPr>
        <w:pStyle w:val="CuerpodetextoNotadePrensa"/>
        <w:numPr>
          <w:ilvl w:val="0"/>
          <w:numId w:val="7"/>
        </w:numPr>
        <w:rPr>
          <w:lang w:val="es-ES" w:eastAsia="es-ES"/>
        </w:rPr>
      </w:pPr>
      <w:r w:rsidRPr="00C718EB">
        <w:rPr>
          <w:b/>
          <w:lang w:val="es-ES" w:eastAsia="es-ES"/>
        </w:rPr>
        <w:t>Sección de Nefrología y U.M.I. del Hospital San Pedro</w:t>
      </w:r>
      <w:r>
        <w:rPr>
          <w:lang w:val="es-ES" w:eastAsia="es-ES"/>
        </w:rPr>
        <w:t>: p</w:t>
      </w:r>
      <w:r w:rsidR="00A05A26" w:rsidRPr="001412BD">
        <w:rPr>
          <w:lang w:val="es-ES" w:eastAsia="es-ES"/>
        </w:rPr>
        <w:t>roductos, equipos e instalaciones para la aplicación de diferentes técnicas de depuración extra renal (hemodiálisis, diálisis perito</w:t>
      </w:r>
      <w:r w:rsidR="008C6A56">
        <w:rPr>
          <w:lang w:val="es-ES" w:eastAsia="es-ES"/>
        </w:rPr>
        <w:t xml:space="preserve">neal, aféresis, </w:t>
      </w:r>
      <w:proofErr w:type="spellStart"/>
      <w:r w:rsidR="008C6A56">
        <w:rPr>
          <w:lang w:val="es-ES" w:eastAsia="es-ES"/>
        </w:rPr>
        <w:t>hemo</w:t>
      </w:r>
      <w:proofErr w:type="spellEnd"/>
      <w:r w:rsidR="008C6A56">
        <w:rPr>
          <w:lang w:val="es-ES" w:eastAsia="es-ES"/>
        </w:rPr>
        <w:t xml:space="preserve">-perfusión, </w:t>
      </w:r>
      <w:r w:rsidR="00A05A26" w:rsidRPr="001412BD">
        <w:rPr>
          <w:lang w:val="es-ES" w:eastAsia="es-ES"/>
        </w:rPr>
        <w:t>etc</w:t>
      </w:r>
      <w:r>
        <w:rPr>
          <w:lang w:val="es-ES" w:eastAsia="es-ES"/>
        </w:rPr>
        <w:t>étera</w:t>
      </w:r>
      <w:r w:rsidR="00A05A26" w:rsidRPr="001412BD">
        <w:rPr>
          <w:lang w:val="es-ES" w:eastAsia="es-ES"/>
        </w:rPr>
        <w:t>)</w:t>
      </w:r>
      <w:r>
        <w:rPr>
          <w:lang w:val="es-ES" w:eastAsia="es-ES"/>
        </w:rPr>
        <w:t>.</w:t>
      </w:r>
      <w:r w:rsidR="00A05A26" w:rsidRPr="001412BD">
        <w:rPr>
          <w:lang w:val="es-ES" w:eastAsia="es-ES"/>
        </w:rPr>
        <w:t xml:space="preserve"> </w:t>
      </w:r>
      <w:r w:rsidR="0066223F">
        <w:rPr>
          <w:lang w:val="es-ES" w:eastAsia="es-ES"/>
        </w:rPr>
        <w:t>Importe</w:t>
      </w:r>
      <w:r>
        <w:rPr>
          <w:lang w:val="es-ES" w:eastAsia="es-ES"/>
        </w:rPr>
        <w:t>:</w:t>
      </w:r>
      <w:r w:rsidR="00A05A26">
        <w:rPr>
          <w:lang w:val="es-ES" w:eastAsia="es-ES"/>
        </w:rPr>
        <w:t xml:space="preserve"> </w:t>
      </w:r>
      <w:r w:rsidR="00A05A26" w:rsidRPr="00FB0E01">
        <w:rPr>
          <w:bCs/>
          <w:lang w:val="es-ES" w:eastAsia="es-ES"/>
        </w:rPr>
        <w:t>992.271,45 euros</w:t>
      </w:r>
      <w:r w:rsidR="00A05A26" w:rsidRPr="001412BD">
        <w:rPr>
          <w:lang w:val="es-ES" w:eastAsia="es-ES"/>
        </w:rPr>
        <w:t>.</w:t>
      </w:r>
    </w:p>
    <w:p w14:paraId="2FA1B38C" w14:textId="4D5CF259" w:rsidR="003269BB" w:rsidRDefault="003269BB" w:rsidP="003269BB">
      <w:pPr>
        <w:pStyle w:val="CuerpodetextoNotadePrensa"/>
        <w:numPr>
          <w:ilvl w:val="0"/>
          <w:numId w:val="7"/>
        </w:numPr>
        <w:rPr>
          <w:rFonts w:eastAsia="Times New Roman"/>
          <w:color w:val="000000"/>
          <w:lang w:val="es-ES" w:eastAsia="es-ES"/>
        </w:rPr>
      </w:pPr>
      <w:r w:rsidRPr="00C718EB">
        <w:rPr>
          <w:rFonts w:eastAsia="Times New Roman"/>
          <w:b/>
          <w:color w:val="000000"/>
          <w:lang w:val="es-ES" w:eastAsia="es-ES"/>
        </w:rPr>
        <w:t>Banco de Sangre de La Rioja</w:t>
      </w:r>
      <w:r>
        <w:rPr>
          <w:rFonts w:eastAsia="Times New Roman"/>
          <w:color w:val="000000"/>
          <w:lang w:val="es-ES" w:eastAsia="es-ES"/>
        </w:rPr>
        <w:t>: r</w:t>
      </w:r>
      <w:r w:rsidRPr="00FB0E01">
        <w:rPr>
          <w:rFonts w:eastAsia="Times New Roman"/>
          <w:color w:val="000000"/>
          <w:lang w:val="es-ES" w:eastAsia="es-ES"/>
        </w:rPr>
        <w:t xml:space="preserve">eactivos para determinaciones analíticas en donaciones de sangre y bolsas de extracción de sangre, </w:t>
      </w:r>
      <w:proofErr w:type="spellStart"/>
      <w:r w:rsidRPr="00FB0E01">
        <w:rPr>
          <w:rFonts w:eastAsia="Times New Roman"/>
          <w:color w:val="000000"/>
          <w:lang w:val="es-ES" w:eastAsia="es-ES"/>
        </w:rPr>
        <w:t>aférisis</w:t>
      </w:r>
      <w:proofErr w:type="spellEnd"/>
      <w:r w:rsidRPr="00FB0E01">
        <w:rPr>
          <w:rFonts w:eastAsia="Times New Roman"/>
          <w:color w:val="000000"/>
          <w:lang w:val="es-ES" w:eastAsia="es-ES"/>
        </w:rPr>
        <w:t>, sistemas de fraccionamiento de sangre e inactivación viral del plasma y otros suministros</w:t>
      </w:r>
      <w:r>
        <w:rPr>
          <w:rFonts w:eastAsia="Times New Roman"/>
          <w:color w:val="000000"/>
          <w:lang w:val="es-ES" w:eastAsia="es-ES"/>
        </w:rPr>
        <w:t xml:space="preserve"> para la práctica transfusional. Importe</w:t>
      </w:r>
      <w:r w:rsidRPr="00FB0E01">
        <w:rPr>
          <w:rFonts w:eastAsia="Times New Roman"/>
          <w:color w:val="000000"/>
          <w:lang w:val="es-ES" w:eastAsia="es-ES"/>
        </w:rPr>
        <w:t xml:space="preserve">: </w:t>
      </w:r>
      <w:r w:rsidRPr="00FB0E01">
        <w:rPr>
          <w:rFonts w:eastAsia="Times New Roman"/>
          <w:bCs/>
          <w:color w:val="000000"/>
          <w:lang w:val="es-ES" w:eastAsia="es-ES"/>
        </w:rPr>
        <w:t>777.732,66</w:t>
      </w:r>
      <w:r w:rsidRPr="00FB0E01">
        <w:rPr>
          <w:rFonts w:eastAsia="Times New Roman"/>
          <w:color w:val="000000"/>
          <w:lang w:val="es-ES" w:eastAsia="es-ES"/>
        </w:rPr>
        <w:t> euros</w:t>
      </w:r>
      <w:r>
        <w:rPr>
          <w:rFonts w:eastAsia="Times New Roman"/>
          <w:color w:val="000000"/>
          <w:lang w:val="es-ES" w:eastAsia="es-ES"/>
        </w:rPr>
        <w:t>.</w:t>
      </w:r>
    </w:p>
    <w:p w14:paraId="43ED1E0A" w14:textId="77777777" w:rsidR="003269BB" w:rsidRPr="00FB0E01" w:rsidRDefault="003269BB" w:rsidP="003269BB">
      <w:pPr>
        <w:pStyle w:val="CuerpodetextoNotadePrensa"/>
        <w:numPr>
          <w:ilvl w:val="0"/>
          <w:numId w:val="7"/>
        </w:numPr>
        <w:rPr>
          <w:lang w:val="es-ES" w:eastAsia="es-ES"/>
        </w:rPr>
      </w:pPr>
      <w:r w:rsidRPr="00C718EB">
        <w:rPr>
          <w:b/>
          <w:lang w:val="es-ES" w:eastAsia="es-ES"/>
        </w:rPr>
        <w:t>Secci</w:t>
      </w:r>
      <w:r>
        <w:rPr>
          <w:b/>
          <w:lang w:val="es-ES" w:eastAsia="es-ES"/>
        </w:rPr>
        <w:t xml:space="preserve">ón de Hemodinámica del Hospital </w:t>
      </w:r>
      <w:r w:rsidRPr="00C718EB">
        <w:rPr>
          <w:b/>
          <w:lang w:val="es-ES" w:eastAsia="es-ES"/>
        </w:rPr>
        <w:t>San Pedro</w:t>
      </w:r>
      <w:r>
        <w:rPr>
          <w:lang w:val="es-ES" w:eastAsia="es-ES"/>
        </w:rPr>
        <w:t xml:space="preserve">: </w:t>
      </w:r>
      <w:proofErr w:type="spellStart"/>
      <w:r>
        <w:rPr>
          <w:lang w:val="es-ES" w:eastAsia="es-ES"/>
        </w:rPr>
        <w:t>s</w:t>
      </w:r>
      <w:r w:rsidRPr="00FB0E01">
        <w:rPr>
          <w:bCs/>
          <w:lang w:val="es-ES" w:eastAsia="es-ES"/>
        </w:rPr>
        <w:t>tents</w:t>
      </w:r>
      <w:proofErr w:type="spellEnd"/>
      <w:r w:rsidRPr="00FB0E01">
        <w:rPr>
          <w:bCs/>
          <w:lang w:val="es-ES" w:eastAsia="es-ES"/>
        </w:rPr>
        <w:t xml:space="preserve"> </w:t>
      </w:r>
      <w:r>
        <w:rPr>
          <w:bCs/>
          <w:lang w:val="es-ES" w:eastAsia="es-ES"/>
        </w:rPr>
        <w:t>c</w:t>
      </w:r>
      <w:r w:rsidRPr="00FB0E01">
        <w:rPr>
          <w:bCs/>
          <w:lang w:val="es-ES" w:eastAsia="es-ES"/>
        </w:rPr>
        <w:t>oronarios</w:t>
      </w:r>
      <w:r w:rsidRPr="00FB0E01">
        <w:rPr>
          <w:lang w:val="es-ES" w:eastAsia="es-ES"/>
        </w:rPr>
        <w:t xml:space="preserve">, catéteres, guías y diverso material </w:t>
      </w:r>
      <w:r>
        <w:rPr>
          <w:lang w:val="es-ES" w:eastAsia="es-ES"/>
        </w:rPr>
        <w:t>fungibles. Importe:</w:t>
      </w:r>
      <w:r w:rsidRPr="00FB0E01">
        <w:rPr>
          <w:lang w:val="es-ES" w:eastAsia="es-ES"/>
        </w:rPr>
        <w:t> </w:t>
      </w:r>
      <w:r w:rsidRPr="00FB0E01">
        <w:rPr>
          <w:bCs/>
          <w:lang w:val="es-ES" w:eastAsia="es-ES"/>
        </w:rPr>
        <w:t>639.203,16</w:t>
      </w:r>
      <w:r w:rsidRPr="00FB0E01">
        <w:rPr>
          <w:lang w:val="es-ES" w:eastAsia="es-ES"/>
        </w:rPr>
        <w:t> </w:t>
      </w:r>
      <w:r>
        <w:rPr>
          <w:lang w:val="es-ES" w:eastAsia="es-ES"/>
        </w:rPr>
        <w:t xml:space="preserve">euros. </w:t>
      </w:r>
    </w:p>
    <w:p w14:paraId="6F80C3B5" w14:textId="0EC20B95" w:rsidR="002218E8" w:rsidRPr="0099133A" w:rsidRDefault="0099133A" w:rsidP="0099133A">
      <w:pPr>
        <w:pStyle w:val="CuerpodetextoNotadePrensa"/>
        <w:numPr>
          <w:ilvl w:val="0"/>
          <w:numId w:val="7"/>
        </w:numPr>
        <w:rPr>
          <w:lang w:val="es-ES" w:eastAsia="es-ES"/>
        </w:rPr>
      </w:pPr>
      <w:r w:rsidRPr="00C718EB">
        <w:rPr>
          <w:b/>
          <w:bCs/>
          <w:lang w:val="es-ES" w:eastAsia="es-ES"/>
        </w:rPr>
        <w:t>Unidad del Dolor</w:t>
      </w:r>
      <w:r>
        <w:rPr>
          <w:bCs/>
          <w:lang w:val="es-ES" w:eastAsia="es-ES"/>
        </w:rPr>
        <w:t>: i</w:t>
      </w:r>
      <w:r w:rsidR="005E4AE6" w:rsidRPr="0099133A">
        <w:rPr>
          <w:bCs/>
          <w:lang w:val="es-ES" w:eastAsia="es-ES"/>
        </w:rPr>
        <w:t>mplantes y material</w:t>
      </w:r>
      <w:r w:rsidR="005E4AE6" w:rsidRPr="0099133A">
        <w:rPr>
          <w:b/>
          <w:bCs/>
          <w:lang w:val="es-ES" w:eastAsia="es-ES"/>
        </w:rPr>
        <w:t xml:space="preserve"> </w:t>
      </w:r>
      <w:r w:rsidR="005E4AE6" w:rsidRPr="0099133A">
        <w:rPr>
          <w:bCs/>
          <w:lang w:val="es-ES" w:eastAsia="es-ES"/>
        </w:rPr>
        <w:t>fungible</w:t>
      </w:r>
      <w:r>
        <w:rPr>
          <w:lang w:val="es-ES" w:eastAsia="es-ES"/>
        </w:rPr>
        <w:t xml:space="preserve">. Importe: </w:t>
      </w:r>
      <w:r w:rsidR="005E4AE6" w:rsidRPr="0099133A">
        <w:rPr>
          <w:bCs/>
          <w:lang w:val="es-ES" w:eastAsia="es-ES"/>
        </w:rPr>
        <w:t>549.385,14 euros</w:t>
      </w:r>
      <w:r w:rsidR="003A42A9">
        <w:rPr>
          <w:bCs/>
          <w:lang w:val="es-ES" w:eastAsia="es-ES"/>
        </w:rPr>
        <w:t>.</w:t>
      </w:r>
    </w:p>
    <w:p w14:paraId="58181CE7" w14:textId="3019A807" w:rsidR="00A37BB1" w:rsidRDefault="00A37BB1" w:rsidP="002218E8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634FF3C6" w14:textId="187A4499" w:rsidR="00A37BB1" w:rsidRPr="00FB0E01" w:rsidRDefault="00C718EB" w:rsidP="002218E8">
      <w:pPr>
        <w:pStyle w:val="CuerpodetextoNotadePrensa"/>
        <w:rPr>
          <w:rFonts w:eastAsia="Times New Roman"/>
          <w:color w:val="000000"/>
          <w:lang w:val="es-ES" w:eastAsia="es-ES"/>
        </w:rPr>
      </w:pPr>
      <w:r>
        <w:rPr>
          <w:rFonts w:eastAsia="Times New Roman"/>
          <w:color w:val="000000"/>
          <w:lang w:val="es-ES" w:eastAsia="es-ES"/>
        </w:rPr>
        <w:t>A ellos se suman dos prórrogas para el suministro de material fungible e implantes de los siguientes servicios:</w:t>
      </w:r>
    </w:p>
    <w:p w14:paraId="10C91D8B" w14:textId="5C03A4D1" w:rsidR="002218E8" w:rsidRDefault="002218E8" w:rsidP="002218E8">
      <w:pPr>
        <w:pStyle w:val="CuerpodetextoNotadePrensa"/>
        <w:rPr>
          <w:lang w:val="es-ES"/>
        </w:rPr>
      </w:pPr>
    </w:p>
    <w:p w14:paraId="3425CF61" w14:textId="767BFF43" w:rsidR="00BF611D" w:rsidRDefault="00C718EB" w:rsidP="00C718EB">
      <w:pPr>
        <w:pStyle w:val="CuerpodetextoNotadePrensa"/>
        <w:numPr>
          <w:ilvl w:val="0"/>
          <w:numId w:val="8"/>
        </w:numPr>
        <w:rPr>
          <w:lang w:val="es-ES" w:eastAsia="es-ES"/>
        </w:rPr>
      </w:pPr>
      <w:r w:rsidRPr="004A5724">
        <w:rPr>
          <w:b/>
          <w:lang w:val="es-ES" w:eastAsia="es-ES"/>
        </w:rPr>
        <w:t>Radiología Intervencionista y Cirugía Vascular del Hospital San Pedro</w:t>
      </w:r>
      <w:r>
        <w:rPr>
          <w:lang w:val="es-ES" w:eastAsia="es-ES"/>
        </w:rPr>
        <w:t xml:space="preserve">: </w:t>
      </w:r>
      <w:r w:rsidR="00BF611D" w:rsidRPr="00BF611D">
        <w:rPr>
          <w:lang w:val="es-ES" w:eastAsia="es-ES"/>
        </w:rPr>
        <w:t xml:space="preserve">713.619,74 </w:t>
      </w:r>
      <w:r w:rsidR="00BF611D">
        <w:rPr>
          <w:lang w:val="es-ES" w:eastAsia="es-ES"/>
        </w:rPr>
        <w:t>euros</w:t>
      </w:r>
      <w:r>
        <w:rPr>
          <w:lang w:val="es-ES" w:eastAsia="es-ES"/>
        </w:rPr>
        <w:t xml:space="preserve"> para ampliar el abastecimiento</w:t>
      </w:r>
      <w:r w:rsidR="00BF611D">
        <w:rPr>
          <w:lang w:val="es-ES" w:eastAsia="es-ES"/>
        </w:rPr>
        <w:t xml:space="preserve"> </w:t>
      </w:r>
      <w:r w:rsidR="003736BB">
        <w:rPr>
          <w:lang w:val="es-ES" w:eastAsia="es-ES"/>
        </w:rPr>
        <w:t>doce</w:t>
      </w:r>
      <w:r w:rsidR="00BF611D" w:rsidRPr="00BF611D">
        <w:rPr>
          <w:lang w:val="es-ES" w:eastAsia="es-ES"/>
        </w:rPr>
        <w:t xml:space="preserve"> meses consecutivos</w:t>
      </w:r>
      <w:r w:rsidR="003736BB">
        <w:rPr>
          <w:lang w:val="es-ES" w:eastAsia="es-ES"/>
        </w:rPr>
        <w:t>,</w:t>
      </w:r>
      <w:r w:rsidR="00BF611D" w:rsidRPr="00BF611D">
        <w:rPr>
          <w:lang w:val="es-ES" w:eastAsia="es-ES"/>
        </w:rPr>
        <w:t xml:space="preserve"> de</w:t>
      </w:r>
      <w:r w:rsidR="00BF611D">
        <w:rPr>
          <w:lang w:val="es-ES" w:eastAsia="es-ES"/>
        </w:rPr>
        <w:t>l</w:t>
      </w:r>
      <w:r w:rsidR="00BF611D" w:rsidRPr="00BF611D">
        <w:rPr>
          <w:lang w:val="es-ES" w:eastAsia="es-ES"/>
        </w:rPr>
        <w:t xml:space="preserve"> 1 de noviembre de 2024 </w:t>
      </w:r>
      <w:r w:rsidR="00BF611D">
        <w:rPr>
          <w:lang w:val="es-ES" w:eastAsia="es-ES"/>
        </w:rPr>
        <w:t>al</w:t>
      </w:r>
      <w:r w:rsidR="00BF611D" w:rsidRPr="00BF611D">
        <w:rPr>
          <w:lang w:val="es-ES" w:eastAsia="es-ES"/>
        </w:rPr>
        <w:t xml:space="preserve"> 31 de octubre de 2025.</w:t>
      </w:r>
    </w:p>
    <w:p w14:paraId="591381C9" w14:textId="74894FE0" w:rsidR="00171533" w:rsidRPr="00171533" w:rsidRDefault="00C718EB" w:rsidP="00C718EB">
      <w:pPr>
        <w:pStyle w:val="CuerpodetextoNotadePrensa"/>
        <w:numPr>
          <w:ilvl w:val="0"/>
          <w:numId w:val="8"/>
        </w:numPr>
        <w:rPr>
          <w:lang w:val="es-ES" w:eastAsia="es-ES"/>
        </w:rPr>
      </w:pPr>
      <w:r w:rsidRPr="004A5724">
        <w:rPr>
          <w:b/>
          <w:lang w:val="es-ES" w:eastAsia="es-ES"/>
        </w:rPr>
        <w:t xml:space="preserve">Quirófano de </w:t>
      </w:r>
      <w:r w:rsidR="003736BB">
        <w:rPr>
          <w:b/>
          <w:lang w:val="es-ES" w:eastAsia="es-ES"/>
        </w:rPr>
        <w:t>O</w:t>
      </w:r>
      <w:r w:rsidRPr="004A5724">
        <w:rPr>
          <w:b/>
          <w:lang w:val="es-ES" w:eastAsia="es-ES"/>
        </w:rPr>
        <w:t>ftalmología del Hospital San Pedro</w:t>
      </w:r>
      <w:r>
        <w:rPr>
          <w:lang w:val="es-ES" w:eastAsia="es-ES"/>
        </w:rPr>
        <w:t xml:space="preserve">: </w:t>
      </w:r>
      <w:r w:rsidR="00171533" w:rsidRPr="00FB0E01">
        <w:rPr>
          <w:bCs/>
          <w:lang w:val="es-ES" w:eastAsia="es-ES"/>
        </w:rPr>
        <w:t xml:space="preserve">253.547,12 </w:t>
      </w:r>
      <w:r>
        <w:rPr>
          <w:bCs/>
          <w:lang w:val="es-ES" w:eastAsia="es-ES"/>
        </w:rPr>
        <w:t xml:space="preserve">euros para garantizar </w:t>
      </w:r>
      <w:r w:rsidR="003736BB">
        <w:rPr>
          <w:bCs/>
          <w:lang w:val="es-ES" w:eastAsia="es-ES"/>
        </w:rPr>
        <w:t>su</w:t>
      </w:r>
      <w:r>
        <w:rPr>
          <w:bCs/>
          <w:lang w:val="es-ES" w:eastAsia="es-ES"/>
        </w:rPr>
        <w:t xml:space="preserve"> provisión </w:t>
      </w:r>
      <w:r>
        <w:rPr>
          <w:lang w:val="es-ES" w:eastAsia="es-ES"/>
        </w:rPr>
        <w:t>durante el primer semestre del próximo año</w:t>
      </w:r>
      <w:r w:rsidR="00171533" w:rsidRPr="00171533">
        <w:rPr>
          <w:lang w:val="es-ES" w:eastAsia="es-ES"/>
        </w:rPr>
        <w:t>.</w:t>
      </w:r>
    </w:p>
    <w:p w14:paraId="22931CA4" w14:textId="5F440FB1" w:rsidR="00171533" w:rsidRDefault="00171533" w:rsidP="00171533">
      <w:pPr>
        <w:pStyle w:val="CuerpodetextoNotadePrensa"/>
        <w:rPr>
          <w:lang w:val="es-ES" w:eastAsia="es-ES"/>
        </w:rPr>
      </w:pPr>
    </w:p>
    <w:p w14:paraId="5163CA00" w14:textId="280422D7" w:rsidR="00E64E80" w:rsidRDefault="00B22656" w:rsidP="00171533">
      <w:pPr>
        <w:pStyle w:val="CuerpodetextoNotadePrensa"/>
        <w:rPr>
          <w:b/>
          <w:bCs/>
          <w:color w:val="000000"/>
          <w:shd w:val="clear" w:color="auto" w:fill="FFFFFF"/>
          <w:lang w:val="es-ES"/>
        </w:rPr>
      </w:pPr>
      <w:r w:rsidRPr="00B22656">
        <w:rPr>
          <w:lang w:val="es-ES" w:eastAsia="es-ES"/>
        </w:rPr>
        <w:lastRenderedPageBreak/>
        <w:t>Por otra parte, el Consejo de Gobierno también ha dado el visto bueno a la inversión de 649.468,73 euros para prorrogar durante 2025 el suministro</w:t>
      </w:r>
      <w:r w:rsidRPr="00B22656">
        <w:rPr>
          <w:color w:val="000000"/>
          <w:shd w:val="clear" w:color="auto" w:fill="FFFFFF"/>
          <w:lang w:val="es-ES"/>
        </w:rPr>
        <w:t xml:space="preserve"> a los Servicios de Farmacia</w:t>
      </w:r>
      <w:r w:rsidRPr="00B22656">
        <w:rPr>
          <w:lang w:val="es-ES" w:eastAsia="es-ES"/>
        </w:rPr>
        <w:t xml:space="preserve"> del Hospital San Pedro y del Hospital de Calahorra del </w:t>
      </w:r>
      <w:r w:rsidRPr="00B22656">
        <w:rPr>
          <w:color w:val="000000"/>
          <w:shd w:val="clear" w:color="auto" w:fill="FFFFFF"/>
          <w:lang w:val="es-ES"/>
        </w:rPr>
        <w:t xml:space="preserve">medicamento exclusivo </w:t>
      </w:r>
      <w:proofErr w:type="spellStart"/>
      <w:r w:rsidRPr="002750EF">
        <w:rPr>
          <w:b/>
          <w:color w:val="000000"/>
          <w:shd w:val="clear" w:color="auto" w:fill="FFFFFF"/>
          <w:lang w:val="es-ES"/>
        </w:rPr>
        <w:t>Eylea</w:t>
      </w:r>
      <w:proofErr w:type="spellEnd"/>
      <w:r w:rsidRPr="00B22656">
        <w:rPr>
          <w:color w:val="000000"/>
          <w:shd w:val="clear" w:color="auto" w:fill="FFFFFF"/>
          <w:lang w:val="es-ES"/>
        </w:rPr>
        <w:t xml:space="preserve">, </w:t>
      </w:r>
      <w:r w:rsidRPr="00B22656">
        <w:rPr>
          <w:color w:val="040C28"/>
          <w:lang w:val="es-ES"/>
        </w:rPr>
        <w:t xml:space="preserve">empleado </w:t>
      </w:r>
      <w:r w:rsidR="008C6A56">
        <w:rPr>
          <w:color w:val="040C28"/>
          <w:lang w:val="es-ES"/>
        </w:rPr>
        <w:t>en el tratamiento de</w:t>
      </w:r>
      <w:r w:rsidRPr="00B22656">
        <w:rPr>
          <w:color w:val="040C28"/>
          <w:lang w:val="es-ES"/>
        </w:rPr>
        <w:t xml:space="preserve"> la degeneración macular húmeda relacionada con la edad</w:t>
      </w:r>
      <w:r w:rsidRPr="00B22656">
        <w:rPr>
          <w:color w:val="1F1F1F"/>
          <w:shd w:val="clear" w:color="auto" w:fill="FFFFFF"/>
          <w:lang w:val="es-ES"/>
        </w:rPr>
        <w:t xml:space="preserve">. Al mismo tiempo, ha autorizado el gasto </w:t>
      </w:r>
      <w:r>
        <w:rPr>
          <w:color w:val="1F1F1F"/>
          <w:shd w:val="clear" w:color="auto" w:fill="FFFFFF"/>
          <w:lang w:val="es-ES"/>
        </w:rPr>
        <w:t>de 2.149.621,62 euros</w:t>
      </w:r>
      <w:r w:rsidR="00904E06">
        <w:rPr>
          <w:color w:val="1F1F1F"/>
          <w:shd w:val="clear" w:color="auto" w:fill="FFFFFF"/>
          <w:lang w:val="es-ES"/>
        </w:rPr>
        <w:t xml:space="preserve"> </w:t>
      </w:r>
      <w:r w:rsidRPr="00B22656">
        <w:rPr>
          <w:color w:val="1F1F1F"/>
          <w:shd w:val="clear" w:color="auto" w:fill="FFFFFF"/>
          <w:lang w:val="es-ES"/>
        </w:rPr>
        <w:t xml:space="preserve">para </w:t>
      </w:r>
      <w:r w:rsidR="00FF47D3">
        <w:rPr>
          <w:color w:val="1F1F1F"/>
          <w:shd w:val="clear" w:color="auto" w:fill="FFFFFF"/>
          <w:lang w:val="es-ES"/>
        </w:rPr>
        <w:t>contratar durante</w:t>
      </w:r>
      <w:r w:rsidRPr="00B22656">
        <w:rPr>
          <w:color w:val="1F1F1F"/>
          <w:shd w:val="clear" w:color="auto" w:fill="FFFFFF"/>
          <w:lang w:val="es-ES"/>
        </w:rPr>
        <w:t xml:space="preserve"> doce meses, a partir del próximo 1 de enero, el abastecimiento </w:t>
      </w:r>
      <w:r w:rsidR="00904E06">
        <w:rPr>
          <w:color w:val="1F1F1F"/>
          <w:shd w:val="clear" w:color="auto" w:fill="FFFFFF"/>
          <w:lang w:val="es-ES"/>
        </w:rPr>
        <w:t>al centro hospitalario de Logroño de</w:t>
      </w:r>
      <w:r w:rsidRPr="00B22656">
        <w:rPr>
          <w:color w:val="1F1F1F"/>
          <w:shd w:val="clear" w:color="auto" w:fill="FFFFFF"/>
          <w:lang w:val="es-ES"/>
        </w:rPr>
        <w:t xml:space="preserve"> </w:t>
      </w:r>
      <w:r w:rsidR="00904E06">
        <w:rPr>
          <w:color w:val="1F1F1F"/>
          <w:shd w:val="clear" w:color="auto" w:fill="FFFFFF"/>
          <w:lang w:val="es-ES"/>
        </w:rPr>
        <w:t>estos tres medicamentos</w:t>
      </w:r>
      <w:r w:rsidRPr="00B22656">
        <w:rPr>
          <w:color w:val="1F1F1F"/>
          <w:shd w:val="clear" w:color="auto" w:fill="FFFFFF"/>
          <w:lang w:val="es-ES"/>
        </w:rPr>
        <w:t>:</w:t>
      </w:r>
      <w:r w:rsidR="00904E06">
        <w:rPr>
          <w:b/>
          <w:bCs/>
          <w:color w:val="000000"/>
          <w:shd w:val="clear" w:color="auto" w:fill="FFFFFF"/>
          <w:lang w:val="es-ES"/>
        </w:rPr>
        <w:t xml:space="preserve"> </w:t>
      </w:r>
    </w:p>
    <w:p w14:paraId="21780E0C" w14:textId="77777777" w:rsidR="00E64E80" w:rsidRDefault="00E64E80" w:rsidP="00171533">
      <w:pPr>
        <w:pStyle w:val="CuerpodetextoNotadePrensa"/>
        <w:rPr>
          <w:b/>
          <w:bCs/>
          <w:color w:val="000000"/>
          <w:shd w:val="clear" w:color="auto" w:fill="FFFFFF"/>
          <w:lang w:val="es-ES"/>
        </w:rPr>
      </w:pPr>
    </w:p>
    <w:p w14:paraId="0CAB2C9C" w14:textId="0ACE93A6" w:rsidR="00E64E80" w:rsidRPr="00E64E80" w:rsidRDefault="00B22656" w:rsidP="002750EF">
      <w:pPr>
        <w:pStyle w:val="CuerpodetextoNotadePrensa"/>
        <w:numPr>
          <w:ilvl w:val="0"/>
          <w:numId w:val="10"/>
        </w:numPr>
        <w:rPr>
          <w:lang w:val="es-ES"/>
        </w:rPr>
      </w:pPr>
      <w:proofErr w:type="spellStart"/>
      <w:r w:rsidRPr="002750EF">
        <w:rPr>
          <w:b/>
          <w:lang w:val="es-ES"/>
        </w:rPr>
        <w:t>Jakav</w:t>
      </w:r>
      <w:r w:rsidR="00E64E80" w:rsidRPr="002750EF">
        <w:rPr>
          <w:b/>
          <w:lang w:val="es-ES"/>
        </w:rPr>
        <w:t>i</w:t>
      </w:r>
      <w:proofErr w:type="spellEnd"/>
      <w:r w:rsidR="00AE4D67">
        <w:rPr>
          <w:lang w:val="es-ES"/>
        </w:rPr>
        <w:t>: indicado para el tratamiento</w:t>
      </w:r>
      <w:r w:rsidR="00C13485">
        <w:rPr>
          <w:lang w:val="es-ES"/>
        </w:rPr>
        <w:t xml:space="preserve"> </w:t>
      </w:r>
      <w:r w:rsidR="00E64E80" w:rsidRPr="00E64E80">
        <w:rPr>
          <w:lang w:val="es-ES"/>
        </w:rPr>
        <w:t>de la esplenomegalia o los síntomas relacionados con la enfermedad</w:t>
      </w:r>
      <w:r w:rsidR="00AE4D67">
        <w:rPr>
          <w:lang w:val="es-ES"/>
        </w:rPr>
        <w:t xml:space="preserve"> </w:t>
      </w:r>
      <w:r w:rsidR="00AE4D67" w:rsidRPr="00AE4D67">
        <w:rPr>
          <w:lang w:val="es-ES"/>
        </w:rPr>
        <w:t>en paci</w:t>
      </w:r>
      <w:r w:rsidR="00AE4D67">
        <w:rPr>
          <w:lang w:val="es-ES"/>
        </w:rPr>
        <w:t xml:space="preserve">entes adultos con </w:t>
      </w:r>
      <w:proofErr w:type="spellStart"/>
      <w:r w:rsidR="00AE4D67">
        <w:rPr>
          <w:lang w:val="es-ES"/>
        </w:rPr>
        <w:t>mielofibrosis</w:t>
      </w:r>
      <w:proofErr w:type="spellEnd"/>
      <w:r w:rsidR="00AE4D67" w:rsidRPr="00AE4D67">
        <w:rPr>
          <w:lang w:val="es-ES"/>
        </w:rPr>
        <w:t>.</w:t>
      </w:r>
    </w:p>
    <w:p w14:paraId="312EDC8C" w14:textId="4B8FF842" w:rsidR="00E64E80" w:rsidRPr="00E64E80" w:rsidRDefault="00B22656" w:rsidP="002750EF">
      <w:pPr>
        <w:pStyle w:val="CuerpodetextoNotadePrensa"/>
        <w:numPr>
          <w:ilvl w:val="0"/>
          <w:numId w:val="10"/>
        </w:numPr>
        <w:rPr>
          <w:lang w:val="es-ES"/>
        </w:rPr>
      </w:pPr>
      <w:proofErr w:type="spellStart"/>
      <w:r w:rsidRPr="002750EF">
        <w:rPr>
          <w:b/>
          <w:lang w:val="es-ES"/>
        </w:rPr>
        <w:t>Revolade</w:t>
      </w:r>
      <w:proofErr w:type="spellEnd"/>
      <w:r w:rsidR="00E64E80" w:rsidRPr="00E64E80">
        <w:rPr>
          <w:lang w:val="es-ES"/>
        </w:rPr>
        <w:t xml:space="preserve">: </w:t>
      </w:r>
      <w:r w:rsidR="00E64E80">
        <w:rPr>
          <w:lang w:val="es-ES"/>
        </w:rPr>
        <w:t>para el</w:t>
      </w:r>
      <w:r w:rsidR="00E64E80" w:rsidRPr="00E64E80">
        <w:rPr>
          <w:lang w:val="es-ES"/>
        </w:rPr>
        <w:t xml:space="preserve"> tratamiento de la trombocitopenia inmune primaria en pacientes </w:t>
      </w:r>
      <w:r w:rsidR="00AE4D67" w:rsidRPr="00AE4D67">
        <w:rPr>
          <w:lang w:val="es-ES"/>
        </w:rPr>
        <w:t>adultos con infección crónica por el virus de la hepatitis C (VHC).</w:t>
      </w:r>
    </w:p>
    <w:p w14:paraId="49285F11" w14:textId="400A879B" w:rsidR="00B22656" w:rsidRPr="00E64E80" w:rsidRDefault="00B22656" w:rsidP="002750EF">
      <w:pPr>
        <w:pStyle w:val="CuerpodetextoNotadePrensa"/>
        <w:numPr>
          <w:ilvl w:val="0"/>
          <w:numId w:val="10"/>
        </w:numPr>
        <w:rPr>
          <w:lang w:val="es-ES"/>
        </w:rPr>
      </w:pPr>
      <w:proofErr w:type="spellStart"/>
      <w:r w:rsidRPr="002750EF">
        <w:rPr>
          <w:b/>
          <w:lang w:val="es-ES"/>
        </w:rPr>
        <w:t>Consentyx</w:t>
      </w:r>
      <w:proofErr w:type="spellEnd"/>
      <w:r w:rsidR="00E64E80">
        <w:rPr>
          <w:lang w:val="es-ES"/>
        </w:rPr>
        <w:t xml:space="preserve">: para el tratamiento </w:t>
      </w:r>
      <w:proofErr w:type="gramStart"/>
      <w:r w:rsidR="007874E0">
        <w:rPr>
          <w:lang w:val="es-ES"/>
        </w:rPr>
        <w:t xml:space="preserve">de </w:t>
      </w:r>
      <w:r w:rsidR="00AE4D67" w:rsidRPr="00AE4D67">
        <w:rPr>
          <w:lang w:val="es-ES"/>
        </w:rPr>
        <w:t>la</w:t>
      </w:r>
      <w:r w:rsidR="00AE4D67">
        <w:rPr>
          <w:lang w:val="es-ES"/>
        </w:rPr>
        <w:t xml:space="preserve"> </w:t>
      </w:r>
      <w:r w:rsidR="00AE4D67" w:rsidRPr="00AE4D67">
        <w:rPr>
          <w:lang w:val="es-ES"/>
        </w:rPr>
        <w:t>psoriasis</w:t>
      </w:r>
      <w:proofErr w:type="gramEnd"/>
      <w:r w:rsidR="00AE4D67" w:rsidRPr="00AE4D67">
        <w:rPr>
          <w:lang w:val="es-ES"/>
        </w:rPr>
        <w:t xml:space="preserve"> en adulto</w:t>
      </w:r>
      <w:r w:rsidR="00AE4D67">
        <w:rPr>
          <w:lang w:val="es-ES"/>
        </w:rPr>
        <w:t>s</w:t>
      </w:r>
      <w:r w:rsidR="00AE4D67" w:rsidRPr="00AE4D67">
        <w:rPr>
          <w:lang w:val="es-ES"/>
        </w:rPr>
        <w:t xml:space="preserve"> y </w:t>
      </w:r>
      <w:r w:rsidR="00AE4D67">
        <w:rPr>
          <w:lang w:val="es-ES"/>
        </w:rPr>
        <w:t>niños</w:t>
      </w:r>
      <w:r w:rsidR="00AE4D67" w:rsidRPr="00AE4D67">
        <w:rPr>
          <w:lang w:val="es-ES"/>
        </w:rPr>
        <w:t xml:space="preserve">, artritis, </w:t>
      </w:r>
      <w:proofErr w:type="spellStart"/>
      <w:r w:rsidR="00AE4D67" w:rsidRPr="00AE4D67">
        <w:rPr>
          <w:lang w:val="es-ES"/>
        </w:rPr>
        <w:t>espondiloartritis</w:t>
      </w:r>
      <w:proofErr w:type="spellEnd"/>
      <w:r w:rsidR="00AE4D67" w:rsidRPr="00AE4D67">
        <w:rPr>
          <w:lang w:val="es-ES"/>
        </w:rPr>
        <w:t xml:space="preserve">, </w:t>
      </w:r>
      <w:proofErr w:type="spellStart"/>
      <w:r w:rsidR="00AE4D67" w:rsidRPr="00AE4D67">
        <w:rPr>
          <w:lang w:val="es-ES"/>
        </w:rPr>
        <w:t>e</w:t>
      </w:r>
      <w:r w:rsidR="00AE4D67">
        <w:rPr>
          <w:lang w:val="es-ES"/>
        </w:rPr>
        <w:t>técera</w:t>
      </w:r>
      <w:proofErr w:type="spellEnd"/>
      <w:r w:rsidR="00E64E80" w:rsidRPr="00E64E80">
        <w:rPr>
          <w:lang w:val="es-ES"/>
        </w:rPr>
        <w:t>.</w:t>
      </w:r>
    </w:p>
    <w:p w14:paraId="5DE74DF6" w14:textId="77777777" w:rsidR="00B22656" w:rsidRDefault="00B22656" w:rsidP="00171533">
      <w:pPr>
        <w:pStyle w:val="CuerpodetextoNotadePrensa"/>
        <w:rPr>
          <w:lang w:val="es-ES" w:eastAsia="es-ES"/>
        </w:rPr>
      </w:pPr>
    </w:p>
    <w:p w14:paraId="34EA0E46" w14:textId="123269FA" w:rsidR="00171533" w:rsidRDefault="00171533" w:rsidP="001412BD">
      <w:pPr>
        <w:pStyle w:val="CuerpodetextoNotadePrensa"/>
        <w:rPr>
          <w:lang w:val="es-ES" w:eastAsia="es-ES"/>
        </w:rPr>
      </w:pPr>
    </w:p>
    <w:p w14:paraId="3318476E" w14:textId="77777777" w:rsidR="00171533" w:rsidRPr="001412BD" w:rsidRDefault="00171533" w:rsidP="001412BD">
      <w:pPr>
        <w:pStyle w:val="CuerpodetextoNotadePrensa"/>
        <w:rPr>
          <w:lang w:val="es-ES" w:eastAsia="es-ES"/>
        </w:rPr>
      </w:pPr>
      <w:bookmarkStart w:id="2" w:name="_GoBack"/>
      <w:bookmarkEnd w:id="2"/>
    </w:p>
    <w:p w14:paraId="5CBD5A1D" w14:textId="77777777" w:rsidR="001412BD" w:rsidRPr="001412BD" w:rsidRDefault="001412BD" w:rsidP="001412BD">
      <w:pPr>
        <w:pStyle w:val="CuerpodetextoNotadePrensa"/>
        <w:rPr>
          <w:lang w:val="es-ES" w:eastAsia="es-ES"/>
        </w:rPr>
      </w:pPr>
    </w:p>
    <w:p w14:paraId="12D6BC9F" w14:textId="530ED94E" w:rsidR="00BF611D" w:rsidRPr="001412BD" w:rsidRDefault="00BF611D" w:rsidP="001412BD">
      <w:pPr>
        <w:pStyle w:val="CuerpodetextoNotadePrensa"/>
        <w:rPr>
          <w:lang w:val="es-ES"/>
        </w:rPr>
      </w:pPr>
    </w:p>
    <w:sectPr w:rsidR="00BF611D" w:rsidRPr="001412B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378"/>
    <w:multiLevelType w:val="hybridMultilevel"/>
    <w:tmpl w:val="4FCE087A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1815"/>
    <w:multiLevelType w:val="hybridMultilevel"/>
    <w:tmpl w:val="47AABF62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D46"/>
    <w:multiLevelType w:val="hybridMultilevel"/>
    <w:tmpl w:val="C8EC9A90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3287C"/>
    <w:multiLevelType w:val="hybridMultilevel"/>
    <w:tmpl w:val="007E5F08"/>
    <w:lvl w:ilvl="0" w:tplc="55B6A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46D0"/>
    <w:multiLevelType w:val="hybridMultilevel"/>
    <w:tmpl w:val="CE96062A"/>
    <w:lvl w:ilvl="0" w:tplc="55B6A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61873"/>
    <w:multiLevelType w:val="hybridMultilevel"/>
    <w:tmpl w:val="633672DA"/>
    <w:lvl w:ilvl="0" w:tplc="55B6A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70699"/>
    <w:multiLevelType w:val="hybridMultilevel"/>
    <w:tmpl w:val="6BAAD27E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71297"/>
    <w:multiLevelType w:val="hybridMultilevel"/>
    <w:tmpl w:val="99A4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B4609"/>
    <w:multiLevelType w:val="hybridMultilevel"/>
    <w:tmpl w:val="15CA4F46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0F5C5F"/>
    <w:rsid w:val="00100590"/>
    <w:rsid w:val="001037A5"/>
    <w:rsid w:val="001412BD"/>
    <w:rsid w:val="001542F7"/>
    <w:rsid w:val="00171533"/>
    <w:rsid w:val="0018459D"/>
    <w:rsid w:val="001D5774"/>
    <w:rsid w:val="0020207D"/>
    <w:rsid w:val="002218E8"/>
    <w:rsid w:val="00240D3F"/>
    <w:rsid w:val="0024763B"/>
    <w:rsid w:val="00250CDB"/>
    <w:rsid w:val="00261510"/>
    <w:rsid w:val="002750EF"/>
    <w:rsid w:val="002873D9"/>
    <w:rsid w:val="002C032E"/>
    <w:rsid w:val="002C41E9"/>
    <w:rsid w:val="002C5DF7"/>
    <w:rsid w:val="002D3B2D"/>
    <w:rsid w:val="002E4839"/>
    <w:rsid w:val="002E72EE"/>
    <w:rsid w:val="00307CD0"/>
    <w:rsid w:val="003269BB"/>
    <w:rsid w:val="003364A2"/>
    <w:rsid w:val="0034365A"/>
    <w:rsid w:val="00346ABB"/>
    <w:rsid w:val="0035439E"/>
    <w:rsid w:val="003736BB"/>
    <w:rsid w:val="0039046B"/>
    <w:rsid w:val="003A3E60"/>
    <w:rsid w:val="003A42A9"/>
    <w:rsid w:val="003C1605"/>
    <w:rsid w:val="003C3EA6"/>
    <w:rsid w:val="003F619C"/>
    <w:rsid w:val="00417179"/>
    <w:rsid w:val="00435C9E"/>
    <w:rsid w:val="0047552C"/>
    <w:rsid w:val="00477863"/>
    <w:rsid w:val="00495B58"/>
    <w:rsid w:val="00495D1F"/>
    <w:rsid w:val="004A5724"/>
    <w:rsid w:val="004C5A69"/>
    <w:rsid w:val="004D420D"/>
    <w:rsid w:val="004D594F"/>
    <w:rsid w:val="0050645C"/>
    <w:rsid w:val="005555DB"/>
    <w:rsid w:val="00574433"/>
    <w:rsid w:val="0058176E"/>
    <w:rsid w:val="00596975"/>
    <w:rsid w:val="00597247"/>
    <w:rsid w:val="005C24C0"/>
    <w:rsid w:val="005E4AE6"/>
    <w:rsid w:val="00642A81"/>
    <w:rsid w:val="006563C4"/>
    <w:rsid w:val="0066223F"/>
    <w:rsid w:val="00673FFA"/>
    <w:rsid w:val="0069392B"/>
    <w:rsid w:val="006A7DBC"/>
    <w:rsid w:val="006B0802"/>
    <w:rsid w:val="006C3A2C"/>
    <w:rsid w:val="00706970"/>
    <w:rsid w:val="00716285"/>
    <w:rsid w:val="007874E0"/>
    <w:rsid w:val="007A7E63"/>
    <w:rsid w:val="007C7121"/>
    <w:rsid w:val="007D6FFF"/>
    <w:rsid w:val="007E4491"/>
    <w:rsid w:val="0087541B"/>
    <w:rsid w:val="008869DC"/>
    <w:rsid w:val="00892C54"/>
    <w:rsid w:val="008B05E4"/>
    <w:rsid w:val="008C6A56"/>
    <w:rsid w:val="008E7E40"/>
    <w:rsid w:val="00904E06"/>
    <w:rsid w:val="00917E39"/>
    <w:rsid w:val="009735EC"/>
    <w:rsid w:val="00977EFE"/>
    <w:rsid w:val="0099133A"/>
    <w:rsid w:val="009E7835"/>
    <w:rsid w:val="009F5570"/>
    <w:rsid w:val="00A05A26"/>
    <w:rsid w:val="00A141BE"/>
    <w:rsid w:val="00A236B3"/>
    <w:rsid w:val="00A25A4D"/>
    <w:rsid w:val="00A347CA"/>
    <w:rsid w:val="00A37BB1"/>
    <w:rsid w:val="00A6238F"/>
    <w:rsid w:val="00A756FA"/>
    <w:rsid w:val="00AA0B41"/>
    <w:rsid w:val="00AA7DF6"/>
    <w:rsid w:val="00AC6E30"/>
    <w:rsid w:val="00AE4D67"/>
    <w:rsid w:val="00B22656"/>
    <w:rsid w:val="00B42BB1"/>
    <w:rsid w:val="00B93DBC"/>
    <w:rsid w:val="00B97FCD"/>
    <w:rsid w:val="00BA5D06"/>
    <w:rsid w:val="00BE70B2"/>
    <w:rsid w:val="00BF611D"/>
    <w:rsid w:val="00C05A43"/>
    <w:rsid w:val="00C13485"/>
    <w:rsid w:val="00C22F34"/>
    <w:rsid w:val="00C648E7"/>
    <w:rsid w:val="00C718EB"/>
    <w:rsid w:val="00C83CF8"/>
    <w:rsid w:val="00CA2BB7"/>
    <w:rsid w:val="00CC08D8"/>
    <w:rsid w:val="00D017AC"/>
    <w:rsid w:val="00D312AD"/>
    <w:rsid w:val="00D53E08"/>
    <w:rsid w:val="00DD0856"/>
    <w:rsid w:val="00E41365"/>
    <w:rsid w:val="00E41609"/>
    <w:rsid w:val="00E517E4"/>
    <w:rsid w:val="00E63FE9"/>
    <w:rsid w:val="00E64E80"/>
    <w:rsid w:val="00E73F4B"/>
    <w:rsid w:val="00ED47D0"/>
    <w:rsid w:val="00F671DE"/>
    <w:rsid w:val="00F8126E"/>
    <w:rsid w:val="00F8570F"/>
    <w:rsid w:val="00F92DFC"/>
    <w:rsid w:val="00FA4DD6"/>
    <w:rsid w:val="00FB0E01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A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1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6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3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46</cp:revision>
  <cp:lastPrinted>2024-10-18T17:36:00Z</cp:lastPrinted>
  <dcterms:created xsi:type="dcterms:W3CDTF">2024-10-18T11:14:00Z</dcterms:created>
  <dcterms:modified xsi:type="dcterms:W3CDTF">2024-10-21T08:39:00Z</dcterms:modified>
</cp:coreProperties>
</file>