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441563EE" w:rsidR="00E517E4" w:rsidRPr="00A756FA" w:rsidRDefault="00061701" w:rsidP="0047552C">
      <w:pPr>
        <w:pStyle w:val="FechaNotadePrensa"/>
        <w:jc w:val="both"/>
      </w:pPr>
      <w:bookmarkStart w:id="0" w:name="_Hlk139457860"/>
      <w:r>
        <w:t>Martes</w:t>
      </w:r>
      <w:r w:rsidR="00E517E4" w:rsidRPr="00A756FA">
        <w:t xml:space="preserve"> </w:t>
      </w:r>
      <w:r w:rsidR="00F76D4C">
        <w:t>07</w:t>
      </w:r>
      <w:r w:rsidR="00E517E4" w:rsidRPr="00A756FA">
        <w:t>/</w:t>
      </w:r>
      <w:r w:rsidR="00F76D4C">
        <w:t>05</w:t>
      </w:r>
      <w:r w:rsidR="00E517E4" w:rsidRPr="00A756FA">
        <w:t>/2</w:t>
      </w:r>
      <w:r>
        <w:t>4</w:t>
      </w:r>
    </w:p>
    <w:p w14:paraId="5FD0D524" w14:textId="77777777" w:rsidR="00703D54" w:rsidRDefault="00703D54" w:rsidP="0047552C">
      <w:pPr>
        <w:pStyle w:val="TtuloNotadePrensa"/>
        <w:jc w:val="both"/>
      </w:pPr>
      <w:bookmarkStart w:id="1" w:name="_Hlk139456888"/>
      <w:bookmarkEnd w:id="0"/>
    </w:p>
    <w:p w14:paraId="37D7E3AC" w14:textId="1239E4E9" w:rsidR="00261510" w:rsidRPr="004D594F" w:rsidRDefault="00703D54" w:rsidP="0047552C">
      <w:pPr>
        <w:pStyle w:val="TtuloNotadePrensa"/>
        <w:jc w:val="both"/>
      </w:pPr>
      <w:r>
        <w:t>El Consejo de Gobierno aprueba destinar 2,</w:t>
      </w:r>
      <w:r w:rsidR="00D808B3">
        <w:t>77</w:t>
      </w:r>
      <w:r>
        <w:t xml:space="preserve"> millones a la</w:t>
      </w:r>
      <w:r w:rsidR="00D808B3">
        <w:t xml:space="preserve"> convocatoria de</w:t>
      </w:r>
      <w:r>
        <w:t xml:space="preserve"> </w:t>
      </w:r>
      <w:r w:rsidR="00D808B3">
        <w:t>ayudas a</w:t>
      </w:r>
      <w:r>
        <w:t xml:space="preserve"> proyectos de cooperación internacional para el desarrollo</w:t>
      </w:r>
    </w:p>
    <w:p w14:paraId="4AF128B9" w14:textId="77777777" w:rsidR="00261510" w:rsidRPr="004D594F" w:rsidRDefault="00261510" w:rsidP="0047552C">
      <w:pPr>
        <w:pStyle w:val="TtuloNotadePrensa"/>
        <w:jc w:val="both"/>
      </w:pPr>
    </w:p>
    <w:bookmarkEnd w:id="1"/>
    <w:p w14:paraId="7B095281" w14:textId="4C2DF188" w:rsidR="001037A5" w:rsidRPr="00703D54" w:rsidRDefault="00703D54" w:rsidP="0047552C">
      <w:pPr>
        <w:pStyle w:val="CuerpodetextoNotadePrensa"/>
        <w:rPr>
          <w:b/>
          <w:lang w:val="es-ES"/>
        </w:rPr>
      </w:pPr>
      <w:r>
        <w:rPr>
          <w:b/>
          <w:lang w:val="es-ES"/>
        </w:rPr>
        <w:t>El Ejecutivo regional también ha ratificado el Plan Anual de Cooperación 2024, aprobado de forma unánime por el Consejo Regional de Cooperación el pasado 12 de abril</w:t>
      </w:r>
    </w:p>
    <w:p w14:paraId="43B83B3E" w14:textId="77777777" w:rsidR="0020207D" w:rsidRPr="00F76D4C" w:rsidRDefault="0020207D" w:rsidP="0047552C">
      <w:pPr>
        <w:pStyle w:val="CuerpodetextoNotadePrensa"/>
        <w:rPr>
          <w:lang w:val="es-ES"/>
        </w:rPr>
      </w:pPr>
    </w:p>
    <w:p w14:paraId="0DC598FC" w14:textId="77777777" w:rsidR="0020207D" w:rsidRPr="00F76D4C" w:rsidRDefault="0020207D" w:rsidP="0047552C">
      <w:pPr>
        <w:pStyle w:val="CuerpodetextoNotadePrensa"/>
        <w:rPr>
          <w:lang w:val="es-ES"/>
        </w:rPr>
      </w:pPr>
    </w:p>
    <w:p w14:paraId="708ABEC1" w14:textId="4329E96C" w:rsidR="0020207D" w:rsidRPr="00F76D4C" w:rsidRDefault="0060202E" w:rsidP="0047552C">
      <w:pPr>
        <w:pStyle w:val="CuerpodetextoNotadePrensa"/>
        <w:rPr>
          <w:lang w:val="es-ES"/>
        </w:rPr>
      </w:pPr>
      <w:r>
        <w:rPr>
          <w:lang w:val="es-ES"/>
        </w:rPr>
        <w:t xml:space="preserve">El Consejo de Gobierno ha autorizado a la Consejería de Cultura, Turismo, Deporte y Juventud a destinar 2.769.200 euros a la convocatoria de subvenciones para proyectos de cooperación internacional para el desarrollo. Asimismo, el Ejecutivo regional ha ratificado el Plan Anual de Cooperación al Desarrollo 2024, que fue aprobado de forma unánime por el Consejo Regional de Cooperación el pasado 12 de abril.  </w:t>
      </w:r>
    </w:p>
    <w:p w14:paraId="15C4EFB2" w14:textId="2BF86BC5" w:rsidR="0020207D" w:rsidRDefault="0020207D" w:rsidP="0047552C">
      <w:pPr>
        <w:pStyle w:val="CuerpodetextoNotadePrensa"/>
        <w:rPr>
          <w:lang w:val="es-ES"/>
        </w:rPr>
      </w:pPr>
    </w:p>
    <w:p w14:paraId="5712972F" w14:textId="3F39A92E" w:rsidR="00D7638C" w:rsidRDefault="004B1F3C" w:rsidP="00D7638C">
      <w:pPr>
        <w:pStyle w:val="CuerpodetextoNotadePrensa"/>
        <w:rPr>
          <w:lang w:val="es-ES"/>
        </w:rPr>
      </w:pPr>
      <w:r w:rsidRPr="004B1F3C">
        <w:rPr>
          <w:lang w:val="es-ES"/>
        </w:rPr>
        <w:t>D</w:t>
      </w:r>
      <w:r>
        <w:rPr>
          <w:lang w:val="es-ES"/>
        </w:rPr>
        <w:t xml:space="preserve">e acuerdo con las bases reguladoras establecidas en la </w:t>
      </w:r>
      <w:hyperlink r:id="rId7" w:tgtFrame="_blank" w:history="1">
        <w:r w:rsidRPr="004B1F3C">
          <w:rPr>
            <w:rStyle w:val="Hipervnculo"/>
            <w:color w:val="auto"/>
            <w:u w:val="none"/>
            <w:lang w:val="es-ES"/>
          </w:rPr>
          <w:t>Orden PRE/21/2019</w:t>
        </w:r>
      </w:hyperlink>
      <w:r w:rsidRPr="004B1F3C">
        <w:rPr>
          <w:lang w:val="es-ES"/>
        </w:rPr>
        <w:t xml:space="preserve">, de 21 de mayo, </w:t>
      </w:r>
      <w:r w:rsidR="00EE0F89">
        <w:rPr>
          <w:lang w:val="es-ES"/>
        </w:rPr>
        <w:t>la finalidad</w:t>
      </w:r>
      <w:r w:rsidRPr="004B1F3C">
        <w:rPr>
          <w:lang w:val="es-ES"/>
        </w:rPr>
        <w:t xml:space="preserve"> de </w:t>
      </w:r>
      <w:r>
        <w:rPr>
          <w:lang w:val="es-ES"/>
        </w:rPr>
        <w:t>estas subvenciones</w:t>
      </w:r>
      <w:r w:rsidRPr="004B1F3C">
        <w:rPr>
          <w:lang w:val="es-ES"/>
        </w:rPr>
        <w:t xml:space="preserve"> es financiar la ejecución de proyectos de cooperación que contribu</w:t>
      </w:r>
      <w:r w:rsidR="00EE0F89">
        <w:rPr>
          <w:lang w:val="es-ES"/>
        </w:rPr>
        <w:t>yan</w:t>
      </w:r>
      <w:r w:rsidRPr="004B1F3C">
        <w:rPr>
          <w:lang w:val="es-ES"/>
        </w:rPr>
        <w:t xml:space="preserve"> al desarrollo humano, soci</w:t>
      </w:r>
      <w:r w:rsidR="000A6384">
        <w:rPr>
          <w:lang w:val="es-ES"/>
        </w:rPr>
        <w:t xml:space="preserve">al o económico de la población. </w:t>
      </w:r>
      <w:r w:rsidR="00D7638C" w:rsidRPr="00D7638C">
        <w:rPr>
          <w:lang w:val="es-ES"/>
        </w:rPr>
        <w:t>Podrán ser beneficiarias las O</w:t>
      </w:r>
      <w:r w:rsidR="008D4370">
        <w:rPr>
          <w:lang w:val="es-ES"/>
        </w:rPr>
        <w:t>rganizaciones no Gubernamentales de Desarrollo (</w:t>
      </w:r>
      <w:r w:rsidR="00C57BDD" w:rsidRPr="008D4370">
        <w:rPr>
          <w:lang w:val="es-ES"/>
        </w:rPr>
        <w:t>ONGD</w:t>
      </w:r>
      <w:r w:rsidR="008D4370">
        <w:rPr>
          <w:lang w:val="es-ES"/>
        </w:rPr>
        <w:t>)</w:t>
      </w:r>
      <w:r w:rsidR="00C57BDD">
        <w:rPr>
          <w:lang w:val="es-ES"/>
        </w:rPr>
        <w:t xml:space="preserve"> </w:t>
      </w:r>
      <w:r w:rsidR="00D7638C" w:rsidRPr="00D7638C">
        <w:rPr>
          <w:lang w:val="es-ES"/>
        </w:rPr>
        <w:t xml:space="preserve">que cumplan los requisitos establecidos en </w:t>
      </w:r>
      <w:r w:rsidR="00D7638C">
        <w:rPr>
          <w:lang w:val="es-ES"/>
        </w:rPr>
        <w:t>la citada orden</w:t>
      </w:r>
      <w:r w:rsidR="00D7638C" w:rsidRPr="00D7638C">
        <w:rPr>
          <w:lang w:val="es-ES"/>
        </w:rPr>
        <w:t>.</w:t>
      </w:r>
      <w:r w:rsidR="00D7638C">
        <w:rPr>
          <w:lang w:val="es-ES"/>
        </w:rPr>
        <w:t xml:space="preserve"> </w:t>
      </w:r>
      <w:r w:rsidR="00D7638C" w:rsidRPr="00D7638C">
        <w:rPr>
          <w:lang w:val="es-ES"/>
        </w:rPr>
        <w:t>E</w:t>
      </w:r>
      <w:r w:rsidRPr="00D7638C">
        <w:rPr>
          <w:lang w:val="es-ES"/>
        </w:rPr>
        <w:t xml:space="preserve">l plazo de presentación de solicitudes será de 31 días naturales a contar desde el día siguiente a la fecha de publicación de </w:t>
      </w:r>
      <w:r w:rsidR="00EE0F89">
        <w:rPr>
          <w:lang w:val="es-ES"/>
        </w:rPr>
        <w:t xml:space="preserve">la </w:t>
      </w:r>
      <w:r w:rsidRPr="00D7638C">
        <w:rPr>
          <w:lang w:val="es-ES"/>
        </w:rPr>
        <w:t>convocatoria en el Boletín Oficial de La Rioja</w:t>
      </w:r>
      <w:r w:rsidR="00EE0F89">
        <w:rPr>
          <w:lang w:val="es-ES"/>
        </w:rPr>
        <w:t xml:space="preserve"> (BOR</w:t>
      </w:r>
      <w:r w:rsidR="008D4370">
        <w:rPr>
          <w:lang w:val="es-ES"/>
        </w:rPr>
        <w:t>) este mes.</w:t>
      </w:r>
    </w:p>
    <w:p w14:paraId="2349A598" w14:textId="77777777" w:rsidR="008D4370" w:rsidRPr="00D7638C" w:rsidRDefault="008D4370" w:rsidP="00D7638C">
      <w:pPr>
        <w:pStyle w:val="CuerpodetextoNotadePrensa"/>
        <w:rPr>
          <w:lang w:val="es-ES"/>
        </w:rPr>
      </w:pPr>
    </w:p>
    <w:p w14:paraId="2BCF2112" w14:textId="0D7A1D53" w:rsidR="00D7638C" w:rsidRDefault="00EE0F89" w:rsidP="0047552C">
      <w:pPr>
        <w:pStyle w:val="CuerpodetextoNotadePrensa"/>
        <w:rPr>
          <w:lang w:val="es-ES"/>
        </w:rPr>
      </w:pPr>
      <w:r>
        <w:rPr>
          <w:lang w:val="es-ES"/>
        </w:rPr>
        <w:t>La estimación es</w:t>
      </w:r>
      <w:r w:rsidR="00D7638C">
        <w:rPr>
          <w:lang w:val="es-ES"/>
        </w:rPr>
        <w:t xml:space="preserve"> movilizar</w:t>
      </w:r>
      <w:r>
        <w:rPr>
          <w:lang w:val="es-ES"/>
        </w:rPr>
        <w:t xml:space="preserve"> </w:t>
      </w:r>
      <w:r w:rsidR="00D7638C">
        <w:rPr>
          <w:lang w:val="es-ES"/>
        </w:rPr>
        <w:t xml:space="preserve">ayudas por valor de 2.769.200 euros, distribuidas </w:t>
      </w:r>
      <w:r w:rsidR="003670C1" w:rsidRPr="003670C1">
        <w:rPr>
          <w:lang w:val="es-ES"/>
        </w:rPr>
        <w:t xml:space="preserve">como sigue: </w:t>
      </w:r>
    </w:p>
    <w:p w14:paraId="2A0953A4" w14:textId="77777777" w:rsidR="00D7638C" w:rsidRDefault="00D7638C" w:rsidP="0047552C">
      <w:pPr>
        <w:pStyle w:val="CuerpodetextoNotadePrensa"/>
        <w:rPr>
          <w:lang w:val="es-ES"/>
        </w:rPr>
      </w:pPr>
    </w:p>
    <w:p w14:paraId="603FF45E" w14:textId="77777777" w:rsidR="00D7638C" w:rsidRDefault="00D7638C" w:rsidP="0047552C">
      <w:pPr>
        <w:pStyle w:val="CuerpodetextoNotadePrensa"/>
        <w:rPr>
          <w:lang w:val="es-ES"/>
        </w:rPr>
      </w:pPr>
      <w:r w:rsidRPr="00D51359">
        <w:rPr>
          <w:lang w:val="es-ES"/>
        </w:rPr>
        <w:t>2024</w:t>
      </w:r>
      <w:r>
        <w:rPr>
          <w:lang w:val="es-ES"/>
        </w:rPr>
        <w:t xml:space="preserve">: </w:t>
      </w:r>
      <w:r w:rsidR="003670C1" w:rsidRPr="003670C1">
        <w:rPr>
          <w:lang w:val="es-ES"/>
        </w:rPr>
        <w:t>1.819.200</w:t>
      </w:r>
      <w:r w:rsidR="00EC5B76">
        <w:rPr>
          <w:lang w:val="es-ES"/>
        </w:rPr>
        <w:t xml:space="preserve"> euros </w:t>
      </w:r>
    </w:p>
    <w:p w14:paraId="26D652C5" w14:textId="77777777" w:rsidR="00D7638C" w:rsidRDefault="00D7638C" w:rsidP="0047552C">
      <w:pPr>
        <w:pStyle w:val="CuerpodetextoNotadePrensa"/>
        <w:rPr>
          <w:lang w:val="es-ES"/>
        </w:rPr>
      </w:pPr>
      <w:r w:rsidRPr="00D51359">
        <w:rPr>
          <w:lang w:val="es-ES"/>
        </w:rPr>
        <w:t>2025</w:t>
      </w:r>
      <w:r>
        <w:rPr>
          <w:lang w:val="es-ES"/>
        </w:rPr>
        <w:t xml:space="preserve">: </w:t>
      </w:r>
      <w:r w:rsidR="003670C1" w:rsidRPr="003670C1">
        <w:rPr>
          <w:lang w:val="es-ES"/>
        </w:rPr>
        <w:t>600.000</w:t>
      </w:r>
      <w:r w:rsidR="00EC5B76">
        <w:rPr>
          <w:lang w:val="es-ES"/>
        </w:rPr>
        <w:t xml:space="preserve"> euros </w:t>
      </w:r>
    </w:p>
    <w:p w14:paraId="1D3337F4" w14:textId="514814C7" w:rsidR="00D7638C" w:rsidRDefault="00D7638C" w:rsidP="0047552C">
      <w:pPr>
        <w:pStyle w:val="CuerpodetextoNotadePrensa"/>
        <w:rPr>
          <w:lang w:val="es-ES"/>
        </w:rPr>
      </w:pPr>
      <w:r w:rsidRPr="00D51359">
        <w:rPr>
          <w:lang w:val="es-ES"/>
        </w:rPr>
        <w:t>2026</w:t>
      </w:r>
      <w:r>
        <w:rPr>
          <w:lang w:val="es-ES"/>
        </w:rPr>
        <w:t xml:space="preserve">: </w:t>
      </w:r>
      <w:r w:rsidR="003670C1" w:rsidRPr="003670C1">
        <w:rPr>
          <w:lang w:val="es-ES"/>
        </w:rPr>
        <w:t>350.000</w:t>
      </w:r>
      <w:r w:rsidR="00EC5B76">
        <w:rPr>
          <w:lang w:val="es-ES"/>
        </w:rPr>
        <w:t xml:space="preserve"> euros</w:t>
      </w:r>
      <w:r w:rsidR="00E922C3">
        <w:rPr>
          <w:lang w:val="es-ES"/>
        </w:rPr>
        <w:t xml:space="preserve"> </w:t>
      </w:r>
    </w:p>
    <w:p w14:paraId="15C88691" w14:textId="77777777" w:rsidR="00D7638C" w:rsidRDefault="00D7638C" w:rsidP="0047552C">
      <w:pPr>
        <w:pStyle w:val="CuerpodetextoNotadePrensa"/>
        <w:rPr>
          <w:lang w:val="es-ES"/>
        </w:rPr>
      </w:pPr>
    </w:p>
    <w:p w14:paraId="29F2C7EE" w14:textId="6A53B115" w:rsidR="00D7638C" w:rsidRDefault="00EE0F89" w:rsidP="0047552C">
      <w:pPr>
        <w:pStyle w:val="CuerpodetextoNotadePrensa"/>
        <w:rPr>
          <w:lang w:val="es-ES"/>
        </w:rPr>
      </w:pPr>
      <w:r>
        <w:rPr>
          <w:lang w:val="es-ES"/>
        </w:rPr>
        <w:t xml:space="preserve">Este gasto </w:t>
      </w:r>
      <w:r w:rsidR="00D51359">
        <w:rPr>
          <w:lang w:val="es-ES"/>
        </w:rPr>
        <w:t xml:space="preserve">se puede ver ampliado dado que </w:t>
      </w:r>
      <w:r w:rsidR="00AD4C77">
        <w:rPr>
          <w:lang w:val="es-ES"/>
        </w:rPr>
        <w:t xml:space="preserve">la normativa vigente </w:t>
      </w:r>
      <w:r w:rsidR="00D51359">
        <w:rPr>
          <w:lang w:val="es-ES"/>
        </w:rPr>
        <w:t xml:space="preserve">permite </w:t>
      </w:r>
      <w:r>
        <w:rPr>
          <w:lang w:val="es-ES"/>
        </w:rPr>
        <w:t>contribucio</w:t>
      </w:r>
      <w:r w:rsidR="00AD4C77">
        <w:rPr>
          <w:lang w:val="es-ES"/>
        </w:rPr>
        <w:t xml:space="preserve">nes </w:t>
      </w:r>
      <w:r w:rsidR="00C57BDD">
        <w:rPr>
          <w:lang w:val="es-ES"/>
        </w:rPr>
        <w:t>de ayuntamientos</w:t>
      </w:r>
      <w:r w:rsidR="00D51359">
        <w:rPr>
          <w:lang w:val="es-ES"/>
        </w:rPr>
        <w:t>, como las realizadas</w:t>
      </w:r>
      <w:r>
        <w:rPr>
          <w:lang w:val="es-ES"/>
        </w:rPr>
        <w:t xml:space="preserve"> </w:t>
      </w:r>
      <w:r w:rsidR="00D51359">
        <w:rPr>
          <w:lang w:val="es-ES"/>
        </w:rPr>
        <w:t>por</w:t>
      </w:r>
      <w:r w:rsidR="008F423F" w:rsidRPr="008F423F">
        <w:rPr>
          <w:lang w:val="es-ES"/>
        </w:rPr>
        <w:t xml:space="preserve"> los </w:t>
      </w:r>
      <w:r w:rsidR="00E1168A">
        <w:rPr>
          <w:lang w:val="es-ES"/>
        </w:rPr>
        <w:t xml:space="preserve">consistorios </w:t>
      </w:r>
      <w:r w:rsidR="008F423F" w:rsidRPr="008F423F">
        <w:rPr>
          <w:lang w:val="es-ES"/>
        </w:rPr>
        <w:t xml:space="preserve">de </w:t>
      </w:r>
      <w:proofErr w:type="spellStart"/>
      <w:r w:rsidR="008F423F" w:rsidRPr="008F423F">
        <w:rPr>
          <w:lang w:val="es-ES"/>
        </w:rPr>
        <w:t>Aldeanueva</w:t>
      </w:r>
      <w:proofErr w:type="spellEnd"/>
      <w:r w:rsidR="008F423F" w:rsidRPr="008F423F">
        <w:rPr>
          <w:lang w:val="es-ES"/>
        </w:rPr>
        <w:t xml:space="preserve"> de Ebro, </w:t>
      </w:r>
      <w:proofErr w:type="spellStart"/>
      <w:r w:rsidR="008F423F" w:rsidRPr="008F423F">
        <w:rPr>
          <w:lang w:val="es-ES"/>
        </w:rPr>
        <w:t>Anguciana</w:t>
      </w:r>
      <w:proofErr w:type="spellEnd"/>
      <w:r w:rsidR="008F423F" w:rsidRPr="008F423F">
        <w:rPr>
          <w:lang w:val="es-ES"/>
        </w:rPr>
        <w:t xml:space="preserve">, </w:t>
      </w:r>
      <w:proofErr w:type="spellStart"/>
      <w:r w:rsidR="008F423F" w:rsidRPr="008F423F">
        <w:rPr>
          <w:lang w:val="es-ES"/>
        </w:rPr>
        <w:t>Badarán</w:t>
      </w:r>
      <w:proofErr w:type="spellEnd"/>
      <w:r w:rsidR="008F423F" w:rsidRPr="008F423F">
        <w:rPr>
          <w:lang w:val="es-ES"/>
        </w:rPr>
        <w:t xml:space="preserve">, Briones, Cenicero, Entrena, Hornos de </w:t>
      </w:r>
      <w:proofErr w:type="spellStart"/>
      <w:r w:rsidR="008F423F" w:rsidRPr="008F423F">
        <w:rPr>
          <w:lang w:val="es-ES"/>
        </w:rPr>
        <w:t>Moncalvillo</w:t>
      </w:r>
      <w:proofErr w:type="spellEnd"/>
      <w:r w:rsidR="00E922C3">
        <w:rPr>
          <w:lang w:val="es-ES"/>
        </w:rPr>
        <w:t>, Medrano, Navarrete y Pradejón</w:t>
      </w:r>
      <w:r w:rsidR="00D51359">
        <w:rPr>
          <w:lang w:val="es-ES"/>
        </w:rPr>
        <w:t xml:space="preserve">, que han aportado a </w:t>
      </w:r>
      <w:r w:rsidR="00D51359" w:rsidRPr="00D51359">
        <w:rPr>
          <w:color w:val="auto"/>
          <w:shd w:val="clear" w:color="auto" w:fill="FFFFFF"/>
          <w:lang w:val="es-ES"/>
        </w:rPr>
        <w:t>esta convocatoria 19.200 euros.</w:t>
      </w:r>
    </w:p>
    <w:p w14:paraId="7DBB0C94" w14:textId="77777777" w:rsidR="00AD4C77" w:rsidRPr="00AD4C77" w:rsidRDefault="00AD4C77" w:rsidP="0047552C">
      <w:pPr>
        <w:pStyle w:val="CuerpodetextoNotadePrensa"/>
        <w:rPr>
          <w:lang w:val="es-ES"/>
        </w:rPr>
      </w:pPr>
    </w:p>
    <w:p w14:paraId="4B119980" w14:textId="589E3318" w:rsidR="0079397B" w:rsidRDefault="008F423F" w:rsidP="0047552C">
      <w:pPr>
        <w:pStyle w:val="CuerpodetextoNotadePrensa"/>
        <w:rPr>
          <w:lang w:val="es-ES"/>
        </w:rPr>
      </w:pPr>
      <w:r w:rsidRPr="008F423F">
        <w:rPr>
          <w:lang w:val="es-ES"/>
        </w:rPr>
        <w:lastRenderedPageBreak/>
        <w:t xml:space="preserve">La duración máxima de los proyectos </w:t>
      </w:r>
      <w:r w:rsidR="0079397B">
        <w:rPr>
          <w:lang w:val="es-ES"/>
        </w:rPr>
        <w:t xml:space="preserve">subvencionables </w:t>
      </w:r>
      <w:r w:rsidRPr="008F423F">
        <w:rPr>
          <w:lang w:val="es-ES"/>
        </w:rPr>
        <w:t xml:space="preserve">será de 24 meses y el importe de la </w:t>
      </w:r>
      <w:r w:rsidR="0079397B">
        <w:rPr>
          <w:lang w:val="es-ES"/>
        </w:rPr>
        <w:t>ayuda</w:t>
      </w:r>
      <w:r w:rsidRPr="008F423F">
        <w:rPr>
          <w:lang w:val="es-ES"/>
        </w:rPr>
        <w:t xml:space="preserve"> solicitada no podrá e</w:t>
      </w:r>
      <w:r w:rsidR="0079397B">
        <w:rPr>
          <w:lang w:val="es-ES"/>
        </w:rPr>
        <w:t xml:space="preserve">xceder </w:t>
      </w:r>
      <w:r w:rsidR="00EE0F89">
        <w:rPr>
          <w:lang w:val="es-ES"/>
        </w:rPr>
        <w:t>las cantidades</w:t>
      </w:r>
      <w:r w:rsidR="0079397B">
        <w:rPr>
          <w:lang w:val="es-ES"/>
        </w:rPr>
        <w:t xml:space="preserve"> recogid</w:t>
      </w:r>
      <w:r w:rsidR="00EE0F89">
        <w:rPr>
          <w:lang w:val="es-ES"/>
        </w:rPr>
        <w:t>a</w:t>
      </w:r>
      <w:r w:rsidR="0079397B">
        <w:rPr>
          <w:lang w:val="es-ES"/>
        </w:rPr>
        <w:t>s conforme a</w:t>
      </w:r>
      <w:r w:rsidRPr="008F423F">
        <w:rPr>
          <w:lang w:val="es-ES"/>
        </w:rPr>
        <w:t xml:space="preserve"> la siguiente tabla: </w:t>
      </w:r>
    </w:p>
    <w:p w14:paraId="4CCFA2FC" w14:textId="77777777" w:rsidR="0079397B" w:rsidRDefault="0079397B" w:rsidP="0047552C">
      <w:pPr>
        <w:pStyle w:val="CuerpodetextoNotadePrensa"/>
        <w:rPr>
          <w:lang w:val="es-ES"/>
        </w:rPr>
      </w:pPr>
    </w:p>
    <w:p w14:paraId="522E6CF9" w14:textId="01B99006" w:rsidR="0079397B" w:rsidRDefault="0079397B" w:rsidP="0047552C">
      <w:pPr>
        <w:pStyle w:val="CuerpodetextoNotadePrensa"/>
        <w:rPr>
          <w:lang w:val="es-ES"/>
        </w:rPr>
      </w:pPr>
      <w:r>
        <w:rPr>
          <w:lang w:val="es-ES"/>
        </w:rPr>
        <w:t>-</w:t>
      </w:r>
      <w:r w:rsidR="001424C1">
        <w:rPr>
          <w:lang w:val="es-ES"/>
        </w:rPr>
        <w:t>Proyectos de h</w:t>
      </w:r>
      <w:r w:rsidR="008F423F" w:rsidRPr="00D51359">
        <w:rPr>
          <w:lang w:val="es-ES"/>
        </w:rPr>
        <w:t>asta 12 meses</w:t>
      </w:r>
      <w:r>
        <w:rPr>
          <w:lang w:val="es-ES"/>
        </w:rPr>
        <w:t xml:space="preserve">: </w:t>
      </w:r>
      <w:r w:rsidR="008F423F" w:rsidRPr="008F423F">
        <w:rPr>
          <w:lang w:val="es-ES"/>
        </w:rPr>
        <w:t xml:space="preserve">100.000 </w:t>
      </w:r>
      <w:r>
        <w:rPr>
          <w:lang w:val="es-ES"/>
        </w:rPr>
        <w:t>euros</w:t>
      </w:r>
    </w:p>
    <w:p w14:paraId="615610F7" w14:textId="6AED71D6" w:rsidR="0079397B" w:rsidRDefault="0079397B" w:rsidP="0047552C">
      <w:pPr>
        <w:pStyle w:val="CuerpodetextoNotadePrensa"/>
        <w:rPr>
          <w:lang w:val="es-ES"/>
        </w:rPr>
      </w:pPr>
      <w:r>
        <w:rPr>
          <w:lang w:val="es-ES"/>
        </w:rPr>
        <w:t>-</w:t>
      </w:r>
      <w:r w:rsidR="001424C1">
        <w:rPr>
          <w:lang w:val="es-ES"/>
        </w:rPr>
        <w:t>Proyectos</w:t>
      </w:r>
      <w:r w:rsidR="001424C1" w:rsidRPr="00D51359">
        <w:rPr>
          <w:lang w:val="es-ES"/>
        </w:rPr>
        <w:t xml:space="preserve"> </w:t>
      </w:r>
      <w:r w:rsidR="001424C1">
        <w:rPr>
          <w:lang w:val="es-ES"/>
        </w:rPr>
        <w:t>e</w:t>
      </w:r>
      <w:r w:rsidR="001424C1" w:rsidRPr="00D51359">
        <w:rPr>
          <w:lang w:val="es-ES"/>
        </w:rPr>
        <w:t>ntre</w:t>
      </w:r>
      <w:r w:rsidR="008F423F" w:rsidRPr="00D51359">
        <w:rPr>
          <w:lang w:val="es-ES"/>
        </w:rPr>
        <w:t xml:space="preserve"> 12 meses y un día</w:t>
      </w:r>
      <w:r w:rsidRPr="00D51359">
        <w:rPr>
          <w:lang w:val="es-ES"/>
        </w:rPr>
        <w:t>,</w:t>
      </w:r>
      <w:r w:rsidR="008F423F" w:rsidRPr="00D51359">
        <w:rPr>
          <w:lang w:val="es-ES"/>
        </w:rPr>
        <w:t xml:space="preserve"> y 18 meses</w:t>
      </w:r>
      <w:r>
        <w:rPr>
          <w:lang w:val="es-ES"/>
        </w:rPr>
        <w:t>:</w:t>
      </w:r>
      <w:r w:rsidR="008F423F" w:rsidRPr="008F423F">
        <w:rPr>
          <w:lang w:val="es-ES"/>
        </w:rPr>
        <w:t xml:space="preserve"> 150.000 </w:t>
      </w:r>
      <w:r>
        <w:rPr>
          <w:lang w:val="es-ES"/>
        </w:rPr>
        <w:t>euros</w:t>
      </w:r>
    </w:p>
    <w:p w14:paraId="66511B51" w14:textId="36355D5A" w:rsidR="0079397B" w:rsidRDefault="0079397B" w:rsidP="0047552C">
      <w:pPr>
        <w:pStyle w:val="CuerpodetextoNotadePrensa"/>
        <w:rPr>
          <w:lang w:val="es-ES"/>
        </w:rPr>
      </w:pPr>
      <w:r>
        <w:rPr>
          <w:lang w:val="es-ES"/>
        </w:rPr>
        <w:t>-</w:t>
      </w:r>
      <w:r w:rsidR="001424C1">
        <w:rPr>
          <w:lang w:val="es-ES"/>
        </w:rPr>
        <w:t>Proyectos</w:t>
      </w:r>
      <w:r w:rsidR="001424C1" w:rsidRPr="00D51359">
        <w:rPr>
          <w:lang w:val="es-ES"/>
        </w:rPr>
        <w:t xml:space="preserve"> </w:t>
      </w:r>
      <w:r w:rsidR="001424C1">
        <w:rPr>
          <w:lang w:val="es-ES"/>
        </w:rPr>
        <w:t>e</w:t>
      </w:r>
      <w:r w:rsidR="008F423F" w:rsidRPr="00D51359">
        <w:rPr>
          <w:lang w:val="es-ES"/>
        </w:rPr>
        <w:t>ntre 18 meses y un día</w:t>
      </w:r>
      <w:r w:rsidRPr="00D51359">
        <w:rPr>
          <w:lang w:val="es-ES"/>
        </w:rPr>
        <w:t>,</w:t>
      </w:r>
      <w:r w:rsidR="008F423F" w:rsidRPr="00D51359">
        <w:rPr>
          <w:lang w:val="es-ES"/>
        </w:rPr>
        <w:t xml:space="preserve"> y 24 meses</w:t>
      </w:r>
      <w:r>
        <w:rPr>
          <w:lang w:val="es-ES"/>
        </w:rPr>
        <w:t>:</w:t>
      </w:r>
      <w:r w:rsidR="008F423F" w:rsidRPr="008F423F">
        <w:rPr>
          <w:lang w:val="es-ES"/>
        </w:rPr>
        <w:t xml:space="preserve"> 200.000</w:t>
      </w:r>
      <w:r>
        <w:rPr>
          <w:lang w:val="es-ES"/>
        </w:rPr>
        <w:t xml:space="preserve"> euros</w:t>
      </w:r>
    </w:p>
    <w:p w14:paraId="315C3977" w14:textId="77777777" w:rsidR="0079397B" w:rsidRDefault="0079397B" w:rsidP="0047552C">
      <w:pPr>
        <w:pStyle w:val="CuerpodetextoNotadePrensa"/>
        <w:rPr>
          <w:lang w:val="es-ES"/>
        </w:rPr>
      </w:pPr>
    </w:p>
    <w:p w14:paraId="225295BA" w14:textId="14F6ABC5" w:rsidR="008F423F" w:rsidRPr="008F423F" w:rsidRDefault="008F423F" w:rsidP="0047552C">
      <w:pPr>
        <w:pStyle w:val="CuerpodetextoNotadePrensa"/>
        <w:rPr>
          <w:lang w:val="es-ES"/>
        </w:rPr>
      </w:pPr>
      <w:r w:rsidRPr="008F423F">
        <w:rPr>
          <w:lang w:val="es-ES"/>
        </w:rPr>
        <w:t>La cuantía solicitada para el periodo de ejecución comprendido entre 12 meses y un día</w:t>
      </w:r>
      <w:r w:rsidR="00161A3C">
        <w:rPr>
          <w:lang w:val="es-ES"/>
        </w:rPr>
        <w:t>,</w:t>
      </w:r>
      <w:r w:rsidRPr="008F423F">
        <w:rPr>
          <w:lang w:val="es-ES"/>
        </w:rPr>
        <w:t xml:space="preserve"> y la finalización del proyecto no podrá superar el 70% de lo solicitado para la ejecución de las actividades de los primeros 12 meses.</w:t>
      </w:r>
    </w:p>
    <w:p w14:paraId="57245B8B" w14:textId="28D8C594" w:rsidR="008F423F" w:rsidRDefault="008F423F" w:rsidP="0047552C">
      <w:pPr>
        <w:pStyle w:val="CuerpodetextoNotadePrensa"/>
        <w:rPr>
          <w:lang w:val="es-ES"/>
        </w:rPr>
      </w:pPr>
    </w:p>
    <w:p w14:paraId="2B5661DD" w14:textId="6FAC9425" w:rsidR="0079397B" w:rsidRDefault="0079397B" w:rsidP="0047552C">
      <w:pPr>
        <w:pStyle w:val="CuerpodetextoNotadePrensa"/>
        <w:rPr>
          <w:lang w:val="es-ES"/>
        </w:rPr>
      </w:pPr>
      <w:r>
        <w:rPr>
          <w:lang w:val="es-ES"/>
        </w:rPr>
        <w:t xml:space="preserve">La </w:t>
      </w:r>
      <w:r w:rsidR="008F423F" w:rsidRPr="008F423F">
        <w:rPr>
          <w:lang w:val="es-ES"/>
        </w:rPr>
        <w:t>subvención se abonará de distinta forma dependiendo de la duración de la iniciativa</w:t>
      </w:r>
      <w:r>
        <w:rPr>
          <w:lang w:val="es-ES"/>
        </w:rPr>
        <w:t>. Así, p</w:t>
      </w:r>
      <w:r w:rsidR="008F423F" w:rsidRPr="008F423F">
        <w:rPr>
          <w:lang w:val="es-ES"/>
        </w:rPr>
        <w:t xml:space="preserve">ara proyectos </w:t>
      </w:r>
      <w:r w:rsidR="00161A3C">
        <w:rPr>
          <w:lang w:val="es-ES"/>
        </w:rPr>
        <w:t>con un plazo</w:t>
      </w:r>
      <w:r w:rsidR="008F423F" w:rsidRPr="008F423F">
        <w:rPr>
          <w:lang w:val="es-ES"/>
        </w:rPr>
        <w:t xml:space="preserve"> igual o inferior a </w:t>
      </w:r>
      <w:r>
        <w:rPr>
          <w:lang w:val="es-ES"/>
        </w:rPr>
        <w:t>un año se</w:t>
      </w:r>
      <w:r w:rsidR="00161A3C">
        <w:rPr>
          <w:lang w:val="es-ES"/>
        </w:rPr>
        <w:t xml:space="preserve"> ha</w:t>
      </w:r>
      <w:r>
        <w:rPr>
          <w:lang w:val="es-ES"/>
        </w:rPr>
        <w:t>rá un</w:t>
      </w:r>
      <w:r w:rsidR="008F423F" w:rsidRPr="008F423F">
        <w:rPr>
          <w:lang w:val="es-ES"/>
        </w:rPr>
        <w:t xml:space="preserve"> único pago en el momento en que se dicte la resolución de concesión</w:t>
      </w:r>
      <w:r>
        <w:rPr>
          <w:lang w:val="es-ES"/>
        </w:rPr>
        <w:t>. Sin embargo, p</w:t>
      </w:r>
      <w:r w:rsidR="008F423F" w:rsidRPr="008F423F">
        <w:rPr>
          <w:lang w:val="es-ES"/>
        </w:rPr>
        <w:t xml:space="preserve">ara proyectos de duración superior </w:t>
      </w:r>
      <w:r>
        <w:rPr>
          <w:lang w:val="es-ES"/>
        </w:rPr>
        <w:t xml:space="preserve">al año habrá dos </w:t>
      </w:r>
      <w:r w:rsidR="00161A3C">
        <w:rPr>
          <w:lang w:val="es-ES"/>
        </w:rPr>
        <w:t>abono</w:t>
      </w:r>
      <w:r>
        <w:rPr>
          <w:lang w:val="es-ES"/>
        </w:rPr>
        <w:t>s:</w:t>
      </w:r>
      <w:r w:rsidR="000A6384">
        <w:rPr>
          <w:lang w:val="es-ES"/>
        </w:rPr>
        <w:t xml:space="preserve"> e</w:t>
      </w:r>
      <w:r w:rsidRPr="00D51359">
        <w:rPr>
          <w:color w:val="auto"/>
          <w:lang w:val="es-ES"/>
        </w:rPr>
        <w:t>l primero</w:t>
      </w:r>
      <w:r w:rsidR="000A6384">
        <w:rPr>
          <w:lang w:val="es-ES"/>
        </w:rPr>
        <w:t xml:space="preserve">, </w:t>
      </w:r>
      <w:r w:rsidR="001424C1">
        <w:rPr>
          <w:lang w:val="es-ES"/>
        </w:rPr>
        <w:t>hasta el 80% del importe solicitado en</w:t>
      </w:r>
      <w:r w:rsidR="008F423F" w:rsidRPr="008F423F">
        <w:rPr>
          <w:lang w:val="es-ES"/>
        </w:rPr>
        <w:t xml:space="preserve"> el momento en el que se dicte la resolución de concesión</w:t>
      </w:r>
      <w:r w:rsidR="000A6384">
        <w:rPr>
          <w:lang w:val="es-ES"/>
        </w:rPr>
        <w:t>, y e</w:t>
      </w:r>
      <w:r w:rsidRPr="001424C1">
        <w:rPr>
          <w:lang w:val="es-ES"/>
        </w:rPr>
        <w:t>l segundo</w:t>
      </w:r>
      <w:r w:rsidR="000A6384">
        <w:rPr>
          <w:lang w:val="es-ES"/>
        </w:rPr>
        <w:t xml:space="preserve">, por </w:t>
      </w:r>
      <w:r w:rsidR="001424C1">
        <w:rPr>
          <w:lang w:val="es-ES"/>
        </w:rPr>
        <w:t>el importe restante</w:t>
      </w:r>
      <w:r w:rsidR="000A6384">
        <w:rPr>
          <w:lang w:val="es-ES"/>
        </w:rPr>
        <w:t>,</w:t>
      </w:r>
      <w:r w:rsidR="001424C1">
        <w:rPr>
          <w:lang w:val="es-ES"/>
        </w:rPr>
        <w:t xml:space="preserve"> tras la justificación</w:t>
      </w:r>
      <w:r w:rsidR="008F423F" w:rsidRPr="001424C1">
        <w:rPr>
          <w:lang w:val="es-ES"/>
        </w:rPr>
        <w:t xml:space="preserve"> intermedi</w:t>
      </w:r>
      <w:r w:rsidR="001424C1">
        <w:rPr>
          <w:lang w:val="es-ES"/>
        </w:rPr>
        <w:t>a</w:t>
      </w:r>
      <w:r w:rsidR="008F423F" w:rsidRPr="001424C1">
        <w:rPr>
          <w:lang w:val="es-ES"/>
        </w:rPr>
        <w:t xml:space="preserve"> </w:t>
      </w:r>
      <w:r w:rsidR="001424C1">
        <w:rPr>
          <w:lang w:val="es-ES"/>
        </w:rPr>
        <w:t xml:space="preserve">de al </w:t>
      </w:r>
      <w:r w:rsidR="004B1F3C" w:rsidRPr="001424C1">
        <w:rPr>
          <w:lang w:val="es-ES"/>
        </w:rPr>
        <w:t>menos el 60</w:t>
      </w:r>
      <w:r w:rsidR="008F423F" w:rsidRPr="001424C1">
        <w:rPr>
          <w:lang w:val="es-ES"/>
        </w:rPr>
        <w:t>% de los fondos</w:t>
      </w:r>
      <w:r w:rsidR="001424C1">
        <w:rPr>
          <w:lang w:val="es-ES"/>
        </w:rPr>
        <w:t xml:space="preserve"> anticipados en el primer pago</w:t>
      </w:r>
      <w:r w:rsidR="000A6384">
        <w:rPr>
          <w:lang w:val="es-ES"/>
        </w:rPr>
        <w:t>.</w:t>
      </w:r>
    </w:p>
    <w:p w14:paraId="0C90346C" w14:textId="1337CA3C" w:rsidR="006A2CD1" w:rsidRDefault="006A2CD1" w:rsidP="0047552C">
      <w:pPr>
        <w:pStyle w:val="CuerpodetextoNotadePrensa"/>
        <w:rPr>
          <w:lang w:val="es-ES"/>
        </w:rPr>
      </w:pPr>
    </w:p>
    <w:p w14:paraId="5E561FB6" w14:textId="05A52F5A" w:rsidR="006A2CD1" w:rsidRPr="005B65A4" w:rsidRDefault="006A2CD1" w:rsidP="009B3477">
      <w:pPr>
        <w:pStyle w:val="CuerpodetextoNotadePrensa"/>
        <w:rPr>
          <w:b/>
          <w:lang w:val="es-ES"/>
        </w:rPr>
      </w:pPr>
      <w:r w:rsidRPr="005B65A4">
        <w:rPr>
          <w:b/>
          <w:lang w:val="es-ES"/>
        </w:rPr>
        <w:t>Plan Anual</w:t>
      </w:r>
    </w:p>
    <w:p w14:paraId="689C4733" w14:textId="77777777" w:rsidR="00E1168A" w:rsidRDefault="006A2CD1" w:rsidP="00D51359">
      <w:pPr>
        <w:pStyle w:val="CuerpodetextoNotadePrensa"/>
        <w:rPr>
          <w:rFonts w:eastAsia="Times New Roman"/>
          <w:color w:val="000000"/>
          <w:lang w:val="es-ES" w:eastAsia="es-ES"/>
        </w:rPr>
      </w:pPr>
      <w:r w:rsidRPr="005B65A4">
        <w:rPr>
          <w:lang w:val="es-ES"/>
        </w:rPr>
        <w:t xml:space="preserve">A su vez, el Consejo de Gobierno ha ratificado </w:t>
      </w:r>
      <w:r w:rsidRPr="005B65A4">
        <w:rPr>
          <w:rFonts w:eastAsia="Times New Roman"/>
          <w:color w:val="auto"/>
          <w:lang w:val="es-ES" w:eastAsia="es-ES"/>
        </w:rPr>
        <w:t xml:space="preserve">el Plan Anual de Cooperación para el Desarrollo </w:t>
      </w:r>
      <w:r w:rsidR="005B65A4">
        <w:rPr>
          <w:rFonts w:eastAsia="Times New Roman"/>
          <w:color w:val="auto"/>
          <w:lang w:val="es-ES" w:eastAsia="es-ES"/>
        </w:rPr>
        <w:t xml:space="preserve">Sostenible </w:t>
      </w:r>
      <w:r w:rsidRPr="005B65A4">
        <w:rPr>
          <w:rFonts w:eastAsia="Times New Roman"/>
          <w:color w:val="auto"/>
          <w:lang w:val="es-ES" w:eastAsia="es-ES"/>
        </w:rPr>
        <w:t>de La Rioja 2024, que fue aprobado por unanimidad por e</w:t>
      </w:r>
      <w:r w:rsidR="003670C1" w:rsidRPr="005B65A4">
        <w:rPr>
          <w:rFonts w:eastAsia="Times New Roman"/>
          <w:color w:val="auto"/>
          <w:lang w:val="es-ES" w:eastAsia="es-ES"/>
        </w:rPr>
        <w:t xml:space="preserve">l Consejo Regional de Cooperación </w:t>
      </w:r>
      <w:r w:rsidR="006B1A71">
        <w:rPr>
          <w:rFonts w:eastAsia="Times New Roman"/>
          <w:color w:val="auto"/>
          <w:lang w:val="es-ES" w:eastAsia="es-ES"/>
        </w:rPr>
        <w:t>en su reunión d</w:t>
      </w:r>
      <w:r w:rsidRPr="005B65A4">
        <w:rPr>
          <w:rFonts w:eastAsia="Times New Roman"/>
          <w:color w:val="auto"/>
          <w:lang w:val="es-ES" w:eastAsia="es-ES"/>
        </w:rPr>
        <w:t>el pasado</w:t>
      </w:r>
      <w:r w:rsidR="003670C1" w:rsidRPr="005B65A4">
        <w:rPr>
          <w:rFonts w:eastAsia="Times New Roman"/>
          <w:color w:val="auto"/>
          <w:lang w:val="es-ES" w:eastAsia="es-ES"/>
        </w:rPr>
        <w:t xml:space="preserve"> 12 de abril</w:t>
      </w:r>
      <w:r w:rsidR="005B65A4">
        <w:rPr>
          <w:rFonts w:eastAsia="Times New Roman"/>
          <w:lang w:val="es-ES" w:eastAsia="es-ES"/>
        </w:rPr>
        <w:t>. Este progr</w:t>
      </w:r>
      <w:r w:rsidR="009B3477" w:rsidRPr="005B65A4">
        <w:rPr>
          <w:rFonts w:eastAsia="Times New Roman"/>
          <w:lang w:val="es-ES" w:eastAsia="es-ES"/>
        </w:rPr>
        <w:t>a</w:t>
      </w:r>
      <w:r w:rsidR="005B65A4">
        <w:rPr>
          <w:rFonts w:eastAsia="Times New Roman"/>
          <w:lang w:val="es-ES" w:eastAsia="es-ES"/>
        </w:rPr>
        <w:t>m</w:t>
      </w:r>
      <w:r w:rsidR="009B3477" w:rsidRPr="005B65A4">
        <w:rPr>
          <w:rFonts w:eastAsia="Times New Roman"/>
          <w:lang w:val="es-ES" w:eastAsia="es-ES"/>
        </w:rPr>
        <w:t xml:space="preserve">a </w:t>
      </w:r>
      <w:r w:rsidR="009B3477" w:rsidRPr="005B65A4">
        <w:rPr>
          <w:rFonts w:eastAsia="Times New Roman"/>
          <w:color w:val="000000"/>
          <w:lang w:val="es-ES" w:eastAsia="es-ES"/>
        </w:rPr>
        <w:t xml:space="preserve">se enmarca en </w:t>
      </w:r>
      <w:r w:rsidR="005B65A4">
        <w:rPr>
          <w:rFonts w:eastAsia="Times New Roman"/>
          <w:color w:val="000000"/>
          <w:lang w:val="es-ES" w:eastAsia="es-ES"/>
        </w:rPr>
        <w:t xml:space="preserve">el </w:t>
      </w:r>
      <w:r w:rsidR="009B3477" w:rsidRPr="005B65A4">
        <w:rPr>
          <w:rFonts w:eastAsia="Times New Roman"/>
          <w:color w:val="000000"/>
          <w:lang w:val="es-ES" w:eastAsia="es-ES"/>
        </w:rPr>
        <w:t>V Plan Director para el Desarrollo Sostenible y la Solidaridad Global de La Rioja 2023-2026</w:t>
      </w:r>
      <w:r w:rsidR="005B65A4">
        <w:rPr>
          <w:rFonts w:eastAsia="Times New Roman"/>
          <w:color w:val="000000"/>
          <w:lang w:val="es-ES" w:eastAsia="es-ES"/>
        </w:rPr>
        <w:t>,</w:t>
      </w:r>
      <w:r w:rsidR="009B3477" w:rsidRPr="005B65A4">
        <w:rPr>
          <w:rFonts w:eastAsia="Times New Roman"/>
          <w:color w:val="000000"/>
          <w:lang w:val="es-ES" w:eastAsia="es-ES"/>
        </w:rPr>
        <w:t xml:space="preserve"> y sus objetivos </w:t>
      </w:r>
      <w:r w:rsidR="00E1168A" w:rsidRPr="009250C4">
        <w:rPr>
          <w:rFonts w:eastAsia="Times New Roman"/>
          <w:color w:val="000000"/>
          <w:lang w:val="es-ES" w:eastAsia="es-ES"/>
        </w:rPr>
        <w:t>principales</w:t>
      </w:r>
      <w:r w:rsidR="00E1168A">
        <w:rPr>
          <w:rFonts w:eastAsia="Times New Roman"/>
          <w:color w:val="000000"/>
          <w:lang w:val="es-ES" w:eastAsia="es-ES"/>
        </w:rPr>
        <w:t xml:space="preserve"> </w:t>
      </w:r>
      <w:r w:rsidR="009B3477" w:rsidRPr="005B65A4">
        <w:rPr>
          <w:rFonts w:eastAsia="Times New Roman"/>
          <w:color w:val="000000"/>
          <w:lang w:val="es-ES" w:eastAsia="es-ES"/>
        </w:rPr>
        <w:t>son tres</w:t>
      </w:r>
      <w:r w:rsidR="00E1168A">
        <w:rPr>
          <w:rFonts w:eastAsia="Times New Roman"/>
          <w:color w:val="000000"/>
          <w:lang w:val="es-ES" w:eastAsia="es-ES"/>
        </w:rPr>
        <w:t xml:space="preserve">. </w:t>
      </w:r>
    </w:p>
    <w:p w14:paraId="7A5C35ED" w14:textId="77777777" w:rsidR="00E1168A" w:rsidRDefault="00E1168A" w:rsidP="00D51359">
      <w:pPr>
        <w:pStyle w:val="CuerpodetextoNotadePrensa"/>
        <w:rPr>
          <w:rFonts w:eastAsia="Times New Roman"/>
          <w:color w:val="000000"/>
          <w:lang w:val="es-ES" w:eastAsia="es-ES"/>
        </w:rPr>
      </w:pPr>
    </w:p>
    <w:p w14:paraId="5FB18E79" w14:textId="77777777" w:rsidR="00E1168A" w:rsidRDefault="00E1168A" w:rsidP="00D51359">
      <w:pPr>
        <w:pStyle w:val="CuerpodetextoNotadePrensa"/>
        <w:rPr>
          <w:rFonts w:eastAsia="Times New Roman"/>
          <w:color w:val="000000"/>
          <w:lang w:val="es-ES" w:eastAsia="es-ES"/>
        </w:rPr>
      </w:pPr>
      <w:r>
        <w:rPr>
          <w:rFonts w:eastAsia="Times New Roman"/>
          <w:color w:val="000000"/>
          <w:lang w:val="es-ES" w:eastAsia="es-ES"/>
        </w:rPr>
        <w:t>Por un lado,</w:t>
      </w:r>
      <w:r w:rsidR="009B3477" w:rsidRPr="005B65A4">
        <w:rPr>
          <w:rFonts w:eastAsia="Times New Roman"/>
          <w:color w:val="000000"/>
          <w:lang w:val="es-ES" w:eastAsia="es-ES"/>
        </w:rPr>
        <w:t xml:space="preserve"> la cooperación del Gobierno de La Rioja se medirá según parámetros de calidad y será más transparente e innovadora, </w:t>
      </w:r>
      <w:r w:rsidR="005B65A4">
        <w:rPr>
          <w:rFonts w:eastAsia="Times New Roman"/>
          <w:color w:val="000000"/>
          <w:lang w:val="es-ES" w:eastAsia="es-ES"/>
        </w:rPr>
        <w:t>así como</w:t>
      </w:r>
      <w:r w:rsidR="009B3477" w:rsidRPr="005B65A4">
        <w:rPr>
          <w:rFonts w:eastAsia="Times New Roman"/>
          <w:color w:val="000000"/>
          <w:lang w:val="es-ES" w:eastAsia="es-ES"/>
        </w:rPr>
        <w:t xml:space="preserve"> más eficaz y eficiente mediante el alineamiento con las directrices establecidas en el V Plan Director</w:t>
      </w:r>
      <w:r>
        <w:rPr>
          <w:rFonts w:eastAsia="Times New Roman"/>
          <w:color w:val="000000"/>
          <w:lang w:val="es-ES" w:eastAsia="es-ES"/>
        </w:rPr>
        <w:t xml:space="preserve">. </w:t>
      </w:r>
    </w:p>
    <w:p w14:paraId="3D39FF40" w14:textId="77777777" w:rsidR="00E1168A" w:rsidRDefault="00E1168A" w:rsidP="00D51359">
      <w:pPr>
        <w:pStyle w:val="CuerpodetextoNotadePrensa"/>
        <w:rPr>
          <w:rFonts w:eastAsia="Times New Roman"/>
          <w:color w:val="000000"/>
          <w:lang w:val="es-ES" w:eastAsia="es-ES"/>
        </w:rPr>
      </w:pPr>
    </w:p>
    <w:p w14:paraId="66DC8FCA" w14:textId="39B3AE7F" w:rsidR="00D51359" w:rsidRPr="00E1168A" w:rsidRDefault="00E1168A" w:rsidP="00D51359">
      <w:pPr>
        <w:pStyle w:val="CuerpodetextoNotadePrensa"/>
        <w:rPr>
          <w:rFonts w:eastAsia="Times New Roman"/>
          <w:color w:val="000000"/>
          <w:lang w:val="es-ES" w:eastAsia="es-ES"/>
        </w:rPr>
      </w:pPr>
      <w:r w:rsidRPr="009250C4">
        <w:rPr>
          <w:rFonts w:eastAsia="Times New Roman"/>
          <w:color w:val="000000"/>
          <w:lang w:val="es-ES" w:eastAsia="es-ES"/>
        </w:rPr>
        <w:t>En segundo lugar,</w:t>
      </w:r>
      <w:r w:rsidR="009B3477" w:rsidRPr="005B65A4">
        <w:rPr>
          <w:rFonts w:eastAsia="Times New Roman"/>
          <w:color w:val="000000"/>
          <w:lang w:val="es-ES" w:eastAsia="es-ES"/>
        </w:rPr>
        <w:t xml:space="preserve"> el Ejecutivo regional fomentará y articulará el trabajo conjunto de los agentes de cooperación.</w:t>
      </w:r>
      <w:r>
        <w:rPr>
          <w:rFonts w:eastAsia="Times New Roman"/>
          <w:color w:val="000000"/>
          <w:lang w:val="es-ES" w:eastAsia="es-ES"/>
        </w:rPr>
        <w:t xml:space="preserve"> </w:t>
      </w:r>
      <w:r w:rsidR="007A4A14">
        <w:rPr>
          <w:lang w:val="es-ES"/>
        </w:rPr>
        <w:t xml:space="preserve">Así se </w:t>
      </w:r>
      <w:r w:rsidR="00D51359">
        <w:rPr>
          <w:lang w:val="es-ES"/>
        </w:rPr>
        <w:t>f</w:t>
      </w:r>
      <w:r w:rsidR="00D51359" w:rsidRPr="00D51359">
        <w:rPr>
          <w:lang w:val="es-ES"/>
        </w:rPr>
        <w:t>ortalece</w:t>
      </w:r>
      <w:r w:rsidR="00D51359">
        <w:rPr>
          <w:lang w:val="es-ES"/>
        </w:rPr>
        <w:t>rán</w:t>
      </w:r>
      <w:r w:rsidR="00D51359" w:rsidRPr="00D51359">
        <w:rPr>
          <w:lang w:val="es-ES"/>
        </w:rPr>
        <w:t xml:space="preserve"> los mecanismos de coordinación y trabajo conjunto</w:t>
      </w:r>
      <w:r w:rsidR="00D51359">
        <w:rPr>
          <w:lang w:val="es-ES"/>
        </w:rPr>
        <w:t>, se incrementará</w:t>
      </w:r>
      <w:r w:rsidR="00D51359" w:rsidRPr="00D51359">
        <w:rPr>
          <w:lang w:val="es-ES"/>
        </w:rPr>
        <w:t xml:space="preserve"> el nivel técnico y las capacidades de los agentes</w:t>
      </w:r>
      <w:r w:rsidR="00D51359">
        <w:rPr>
          <w:lang w:val="es-ES"/>
        </w:rPr>
        <w:t>, y se pr</w:t>
      </w:r>
      <w:r w:rsidR="00D51359" w:rsidRPr="00D51359">
        <w:rPr>
          <w:lang w:val="es-ES"/>
        </w:rPr>
        <w:t>ofundizar</w:t>
      </w:r>
      <w:r w:rsidR="00D51359">
        <w:rPr>
          <w:lang w:val="es-ES"/>
        </w:rPr>
        <w:t>á</w:t>
      </w:r>
      <w:r w:rsidR="00D51359" w:rsidRPr="00D51359">
        <w:rPr>
          <w:lang w:val="es-ES"/>
        </w:rPr>
        <w:t xml:space="preserve"> en materia de </w:t>
      </w:r>
      <w:r w:rsidR="00D51359">
        <w:rPr>
          <w:lang w:val="es-ES"/>
        </w:rPr>
        <w:t>tr</w:t>
      </w:r>
      <w:r w:rsidR="00D51359" w:rsidRPr="00D51359">
        <w:rPr>
          <w:lang w:val="es-ES"/>
        </w:rPr>
        <w:t xml:space="preserve">ansparencia y </w:t>
      </w:r>
      <w:r w:rsidR="00D51359">
        <w:rPr>
          <w:lang w:val="es-ES"/>
        </w:rPr>
        <w:t>r</w:t>
      </w:r>
      <w:r w:rsidR="00D51359" w:rsidRPr="00D51359">
        <w:rPr>
          <w:lang w:val="es-ES"/>
        </w:rPr>
        <w:t xml:space="preserve">endición de </w:t>
      </w:r>
      <w:r w:rsidR="00D51359">
        <w:rPr>
          <w:lang w:val="es-ES"/>
        </w:rPr>
        <w:t>c</w:t>
      </w:r>
      <w:r w:rsidR="00D51359" w:rsidRPr="00D51359">
        <w:rPr>
          <w:lang w:val="es-ES"/>
        </w:rPr>
        <w:t>uentas.</w:t>
      </w:r>
    </w:p>
    <w:p w14:paraId="3873FE56" w14:textId="77777777" w:rsidR="00EE0F89" w:rsidRDefault="00EE0F89" w:rsidP="00D51359">
      <w:pPr>
        <w:pStyle w:val="CuerpodetextoNotadePrensa"/>
        <w:rPr>
          <w:lang w:val="es-ES"/>
        </w:rPr>
      </w:pPr>
    </w:p>
    <w:p w14:paraId="44AC1588" w14:textId="7533FE00" w:rsidR="00D51359" w:rsidRPr="00E1168A" w:rsidRDefault="00E1168A" w:rsidP="00D51359">
      <w:pPr>
        <w:pStyle w:val="CuerpodetextoNotadePrensa"/>
        <w:rPr>
          <w:color w:val="FF0000"/>
          <w:lang w:val="es-ES"/>
        </w:rPr>
      </w:pPr>
      <w:r w:rsidRPr="009250C4">
        <w:rPr>
          <w:lang w:val="es-ES"/>
        </w:rPr>
        <w:t>En tercer lugar,</w:t>
      </w:r>
      <w:r>
        <w:rPr>
          <w:lang w:val="es-ES"/>
        </w:rPr>
        <w:t xml:space="preserve"> se </w:t>
      </w:r>
      <w:r w:rsidR="00D51359">
        <w:rPr>
          <w:lang w:val="es-ES"/>
        </w:rPr>
        <w:t>c</w:t>
      </w:r>
      <w:r w:rsidR="00D51359" w:rsidRPr="00D51359">
        <w:rPr>
          <w:lang w:val="es-ES"/>
        </w:rPr>
        <w:t>oncentrar</w:t>
      </w:r>
      <w:r>
        <w:rPr>
          <w:lang w:val="es-ES"/>
        </w:rPr>
        <w:t>á</w:t>
      </w:r>
      <w:r w:rsidR="00D51359" w:rsidRPr="00D51359">
        <w:rPr>
          <w:lang w:val="es-ES"/>
        </w:rPr>
        <w:t xml:space="preserve"> la ayuda en prioridades geográficas</w:t>
      </w:r>
      <w:r w:rsidR="00D51359">
        <w:rPr>
          <w:lang w:val="es-ES"/>
        </w:rPr>
        <w:t xml:space="preserve">, así como </w:t>
      </w:r>
      <w:r>
        <w:rPr>
          <w:lang w:val="es-ES"/>
        </w:rPr>
        <w:t xml:space="preserve">en </w:t>
      </w:r>
      <w:r w:rsidR="00D51359" w:rsidRPr="00D51359">
        <w:rPr>
          <w:lang w:val="es-ES"/>
        </w:rPr>
        <w:t xml:space="preserve">temáticas de acuerdo </w:t>
      </w:r>
      <w:r>
        <w:rPr>
          <w:lang w:val="es-ES"/>
        </w:rPr>
        <w:t>con</w:t>
      </w:r>
      <w:r w:rsidR="00D51359" w:rsidRPr="00D51359">
        <w:rPr>
          <w:lang w:val="es-ES"/>
        </w:rPr>
        <w:t xml:space="preserve"> los enfoques establecidos en el V Plan Director</w:t>
      </w:r>
      <w:r w:rsidR="009250C4">
        <w:rPr>
          <w:lang w:val="es-ES"/>
        </w:rPr>
        <w:t>, y</w:t>
      </w:r>
      <w:r w:rsidR="00D51359">
        <w:rPr>
          <w:lang w:val="es-ES"/>
        </w:rPr>
        <w:t xml:space="preserve"> m</w:t>
      </w:r>
      <w:r w:rsidR="00D51359" w:rsidRPr="00D51359">
        <w:rPr>
          <w:lang w:val="es-ES"/>
        </w:rPr>
        <w:t>ejorar la respuesta humanitaria</w:t>
      </w:r>
      <w:r w:rsidR="009250C4">
        <w:rPr>
          <w:lang w:val="es-ES"/>
        </w:rPr>
        <w:t>.</w:t>
      </w:r>
      <w:bookmarkStart w:id="2" w:name="_GoBack"/>
      <w:bookmarkEnd w:id="2"/>
    </w:p>
    <w:p w14:paraId="79F7A495" w14:textId="77777777" w:rsidR="00D51359" w:rsidRPr="00D51359" w:rsidRDefault="00D51359" w:rsidP="00D51359">
      <w:pPr>
        <w:pStyle w:val="CuerpodetextoNotadePrensa"/>
        <w:rPr>
          <w:color w:val="auto"/>
          <w:shd w:val="clear" w:color="auto" w:fill="FFFFFF"/>
          <w:lang w:val="es-ES"/>
        </w:rPr>
      </w:pPr>
    </w:p>
    <w:p w14:paraId="563F9CF6" w14:textId="4B08F540" w:rsidR="00D51359" w:rsidRPr="00D51359" w:rsidRDefault="00D51359" w:rsidP="00D51359">
      <w:pPr>
        <w:pStyle w:val="CuerpodetextoNotadePrensa"/>
        <w:rPr>
          <w:color w:val="auto"/>
          <w:lang w:val="es-ES"/>
        </w:rPr>
      </w:pPr>
      <w:r w:rsidRPr="00D51359">
        <w:rPr>
          <w:color w:val="auto"/>
          <w:shd w:val="clear" w:color="auto" w:fill="FFFFFF"/>
          <w:lang w:val="es-ES"/>
        </w:rPr>
        <w:t>Este Plan también persigue un sistema de cooperación riojano en el que exista una coordinación y un flujo de información constante entre los distintos agentes de cooperación. Para ello, se ha definido la necesidad de llegar a espacios de confluencia con entidades locales, la Universidad, ONG</w:t>
      </w:r>
      <w:r w:rsidR="007A4A14">
        <w:rPr>
          <w:color w:val="auto"/>
          <w:shd w:val="clear" w:color="auto" w:fill="FFFFFF"/>
          <w:lang w:val="es-ES"/>
        </w:rPr>
        <w:t>D</w:t>
      </w:r>
      <w:r w:rsidRPr="00D51359">
        <w:rPr>
          <w:color w:val="auto"/>
          <w:shd w:val="clear" w:color="auto" w:fill="FFFFFF"/>
          <w:lang w:val="es-ES"/>
        </w:rPr>
        <w:t xml:space="preserve">, otras asociaciones, </w:t>
      </w:r>
      <w:r w:rsidRPr="00D51359">
        <w:rPr>
          <w:color w:val="auto"/>
          <w:shd w:val="clear" w:color="auto" w:fill="FFFFFF"/>
          <w:lang w:val="es-ES"/>
        </w:rPr>
        <w:lastRenderedPageBreak/>
        <w:t>fundaciones y empresas privadas que actúen o pueden actuar en este ámbito, e ir avanzando en políticas de desarrollo sostenible consensuadas y más coherentes.</w:t>
      </w:r>
    </w:p>
    <w:sectPr w:rsidR="00D51359" w:rsidRPr="00D51359" w:rsidSect="00A6238F">
      <w:headerReference w:type="even" r:id="rId8"/>
      <w:headerReference w:type="default" r:id="rId9"/>
      <w:footerReference w:type="even" r:id="rId10"/>
      <w:footerReference w:type="default" r:id="rId11"/>
      <w:headerReference w:type="first" r:id="rId12"/>
      <w:footerReference w:type="first" r:id="rId13"/>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FC17F07"/>
    <w:multiLevelType w:val="hybridMultilevel"/>
    <w:tmpl w:val="325C6A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9694D"/>
    <w:rsid w:val="000A6384"/>
    <w:rsid w:val="000F3F3C"/>
    <w:rsid w:val="00100590"/>
    <w:rsid w:val="001037A5"/>
    <w:rsid w:val="001424C1"/>
    <w:rsid w:val="001542F7"/>
    <w:rsid w:val="00161A3C"/>
    <w:rsid w:val="0018459D"/>
    <w:rsid w:val="001D5774"/>
    <w:rsid w:val="0020207D"/>
    <w:rsid w:val="00240D3F"/>
    <w:rsid w:val="00250CDB"/>
    <w:rsid w:val="00261510"/>
    <w:rsid w:val="002873D9"/>
    <w:rsid w:val="002C41E9"/>
    <w:rsid w:val="002C5DF7"/>
    <w:rsid w:val="002D3B2D"/>
    <w:rsid w:val="002E4839"/>
    <w:rsid w:val="002E72EE"/>
    <w:rsid w:val="002F7E61"/>
    <w:rsid w:val="00307CD0"/>
    <w:rsid w:val="003364A2"/>
    <w:rsid w:val="0034365A"/>
    <w:rsid w:val="00346ABB"/>
    <w:rsid w:val="0035439E"/>
    <w:rsid w:val="003670C1"/>
    <w:rsid w:val="0039046B"/>
    <w:rsid w:val="003A3E60"/>
    <w:rsid w:val="003C1605"/>
    <w:rsid w:val="00417179"/>
    <w:rsid w:val="00435C9E"/>
    <w:rsid w:val="0047552C"/>
    <w:rsid w:val="00477863"/>
    <w:rsid w:val="00495B58"/>
    <w:rsid w:val="00495D1F"/>
    <w:rsid w:val="004B1F3C"/>
    <w:rsid w:val="004D420D"/>
    <w:rsid w:val="004D594F"/>
    <w:rsid w:val="0050645C"/>
    <w:rsid w:val="00574433"/>
    <w:rsid w:val="0058176E"/>
    <w:rsid w:val="00596975"/>
    <w:rsid w:val="00597247"/>
    <w:rsid w:val="005B65A4"/>
    <w:rsid w:val="005D45D6"/>
    <w:rsid w:val="0060202E"/>
    <w:rsid w:val="006563C4"/>
    <w:rsid w:val="00673FFA"/>
    <w:rsid w:val="0069392B"/>
    <w:rsid w:val="006A2CD1"/>
    <w:rsid w:val="006A7DBC"/>
    <w:rsid w:val="006B0802"/>
    <w:rsid w:val="006B1A71"/>
    <w:rsid w:val="00703D54"/>
    <w:rsid w:val="00706970"/>
    <w:rsid w:val="00716285"/>
    <w:rsid w:val="0079397B"/>
    <w:rsid w:val="007A4A14"/>
    <w:rsid w:val="007A7E63"/>
    <w:rsid w:val="007C7121"/>
    <w:rsid w:val="007D6FFF"/>
    <w:rsid w:val="007E4491"/>
    <w:rsid w:val="00836E10"/>
    <w:rsid w:val="0087541B"/>
    <w:rsid w:val="00892C54"/>
    <w:rsid w:val="008B05E4"/>
    <w:rsid w:val="008D4370"/>
    <w:rsid w:val="008E7E40"/>
    <w:rsid w:val="008F423F"/>
    <w:rsid w:val="00917E39"/>
    <w:rsid w:val="009250C4"/>
    <w:rsid w:val="009735EC"/>
    <w:rsid w:val="00977EFE"/>
    <w:rsid w:val="009B3477"/>
    <w:rsid w:val="009E7835"/>
    <w:rsid w:val="00A141BE"/>
    <w:rsid w:val="00A347CA"/>
    <w:rsid w:val="00A6238F"/>
    <w:rsid w:val="00A756FA"/>
    <w:rsid w:val="00AA0B41"/>
    <w:rsid w:val="00AC6E30"/>
    <w:rsid w:val="00AD4C77"/>
    <w:rsid w:val="00B93DBC"/>
    <w:rsid w:val="00B97FCD"/>
    <w:rsid w:val="00BA5D06"/>
    <w:rsid w:val="00BE70B2"/>
    <w:rsid w:val="00C05A43"/>
    <w:rsid w:val="00C22F34"/>
    <w:rsid w:val="00C57BDD"/>
    <w:rsid w:val="00C648E7"/>
    <w:rsid w:val="00C83CF8"/>
    <w:rsid w:val="00CC08D8"/>
    <w:rsid w:val="00D017AC"/>
    <w:rsid w:val="00D312AD"/>
    <w:rsid w:val="00D51359"/>
    <w:rsid w:val="00D53E08"/>
    <w:rsid w:val="00D7638C"/>
    <w:rsid w:val="00D808B3"/>
    <w:rsid w:val="00DC7038"/>
    <w:rsid w:val="00DD0856"/>
    <w:rsid w:val="00E1168A"/>
    <w:rsid w:val="00E41609"/>
    <w:rsid w:val="00E517E4"/>
    <w:rsid w:val="00E63FE9"/>
    <w:rsid w:val="00E922C3"/>
    <w:rsid w:val="00EC5B76"/>
    <w:rsid w:val="00ED47D0"/>
    <w:rsid w:val="00EE0F89"/>
    <w:rsid w:val="00F671DE"/>
    <w:rsid w:val="00F76D4C"/>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EE0F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0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3997">
      <w:bodyDiv w:val="1"/>
      <w:marLeft w:val="0"/>
      <w:marRight w:val="0"/>
      <w:marTop w:val="0"/>
      <w:marBottom w:val="0"/>
      <w:divBdr>
        <w:top w:val="none" w:sz="0" w:space="0" w:color="auto"/>
        <w:left w:val="none" w:sz="0" w:space="0" w:color="auto"/>
        <w:bottom w:val="none" w:sz="0" w:space="0" w:color="auto"/>
        <w:right w:val="none" w:sz="0" w:space="0" w:color="auto"/>
      </w:divBdr>
    </w:div>
    <w:div w:id="435488124">
      <w:bodyDiv w:val="1"/>
      <w:marLeft w:val="0"/>
      <w:marRight w:val="0"/>
      <w:marTop w:val="0"/>
      <w:marBottom w:val="0"/>
      <w:divBdr>
        <w:top w:val="none" w:sz="0" w:space="0" w:color="auto"/>
        <w:left w:val="none" w:sz="0" w:space="0" w:color="auto"/>
        <w:bottom w:val="none" w:sz="0" w:space="0" w:color="auto"/>
        <w:right w:val="none" w:sz="0" w:space="0" w:color="auto"/>
      </w:divBdr>
      <w:divsChild>
        <w:div w:id="468714120">
          <w:marLeft w:val="1211"/>
          <w:marRight w:val="0"/>
          <w:marTop w:val="0"/>
          <w:marBottom w:val="0"/>
          <w:divBdr>
            <w:top w:val="none" w:sz="0" w:space="0" w:color="auto"/>
            <w:left w:val="none" w:sz="0" w:space="0" w:color="auto"/>
            <w:bottom w:val="none" w:sz="0" w:space="0" w:color="auto"/>
            <w:right w:val="none" w:sz="0" w:space="0" w:color="auto"/>
          </w:divBdr>
        </w:div>
        <w:div w:id="767389898">
          <w:marLeft w:val="1211"/>
          <w:marRight w:val="0"/>
          <w:marTop w:val="0"/>
          <w:marBottom w:val="0"/>
          <w:divBdr>
            <w:top w:val="none" w:sz="0" w:space="0" w:color="auto"/>
            <w:left w:val="none" w:sz="0" w:space="0" w:color="auto"/>
            <w:bottom w:val="none" w:sz="0" w:space="0" w:color="auto"/>
            <w:right w:val="none" w:sz="0" w:space="0" w:color="auto"/>
          </w:divBdr>
        </w:div>
        <w:div w:id="607932160">
          <w:marLeft w:val="1211"/>
          <w:marRight w:val="0"/>
          <w:marTop w:val="0"/>
          <w:marBottom w:val="0"/>
          <w:divBdr>
            <w:top w:val="none" w:sz="0" w:space="0" w:color="auto"/>
            <w:left w:val="none" w:sz="0" w:space="0" w:color="auto"/>
            <w:bottom w:val="none" w:sz="0" w:space="0" w:color="auto"/>
            <w:right w:val="none" w:sz="0" w:space="0" w:color="auto"/>
          </w:divBdr>
        </w:div>
        <w:div w:id="1152674613">
          <w:marLeft w:val="720"/>
          <w:marRight w:val="0"/>
          <w:marTop w:val="0"/>
          <w:marBottom w:val="0"/>
          <w:divBdr>
            <w:top w:val="none" w:sz="0" w:space="0" w:color="auto"/>
            <w:left w:val="none" w:sz="0" w:space="0" w:color="auto"/>
            <w:bottom w:val="none" w:sz="0" w:space="0" w:color="auto"/>
            <w:right w:val="none" w:sz="0" w:space="0" w:color="auto"/>
          </w:divBdr>
        </w:div>
        <w:div w:id="1948543835">
          <w:marLeft w:val="1211"/>
          <w:marRight w:val="0"/>
          <w:marTop w:val="0"/>
          <w:marBottom w:val="0"/>
          <w:divBdr>
            <w:top w:val="none" w:sz="0" w:space="0" w:color="auto"/>
            <w:left w:val="none" w:sz="0" w:space="0" w:color="auto"/>
            <w:bottom w:val="none" w:sz="0" w:space="0" w:color="auto"/>
            <w:right w:val="none" w:sz="0" w:space="0" w:color="auto"/>
          </w:divBdr>
        </w:div>
        <w:div w:id="1024091485">
          <w:marLeft w:val="1211"/>
          <w:marRight w:val="0"/>
          <w:marTop w:val="0"/>
          <w:marBottom w:val="0"/>
          <w:divBdr>
            <w:top w:val="none" w:sz="0" w:space="0" w:color="auto"/>
            <w:left w:val="none" w:sz="0" w:space="0" w:color="auto"/>
            <w:bottom w:val="none" w:sz="0" w:space="0" w:color="auto"/>
            <w:right w:val="none" w:sz="0" w:space="0" w:color="auto"/>
          </w:divBdr>
        </w:div>
        <w:div w:id="882983494">
          <w:marLeft w:val="1211"/>
          <w:marRight w:val="0"/>
          <w:marTop w:val="0"/>
          <w:marBottom w:val="0"/>
          <w:divBdr>
            <w:top w:val="none" w:sz="0" w:space="0" w:color="auto"/>
            <w:left w:val="none" w:sz="0" w:space="0" w:color="auto"/>
            <w:bottom w:val="none" w:sz="0" w:space="0" w:color="auto"/>
            <w:right w:val="none" w:sz="0" w:space="0" w:color="auto"/>
          </w:divBdr>
        </w:div>
        <w:div w:id="76102368">
          <w:marLeft w:val="1800"/>
          <w:marRight w:val="0"/>
          <w:marTop w:val="0"/>
          <w:marBottom w:val="0"/>
          <w:divBdr>
            <w:top w:val="none" w:sz="0" w:space="0" w:color="auto"/>
            <w:left w:val="none" w:sz="0" w:space="0" w:color="auto"/>
            <w:bottom w:val="none" w:sz="0" w:space="0" w:color="auto"/>
            <w:right w:val="none" w:sz="0" w:space="0" w:color="auto"/>
          </w:divBdr>
        </w:div>
        <w:div w:id="834303864">
          <w:marLeft w:val="1800"/>
          <w:marRight w:val="0"/>
          <w:marTop w:val="0"/>
          <w:marBottom w:val="0"/>
          <w:divBdr>
            <w:top w:val="none" w:sz="0" w:space="0" w:color="auto"/>
            <w:left w:val="none" w:sz="0" w:space="0" w:color="auto"/>
            <w:bottom w:val="none" w:sz="0" w:space="0" w:color="auto"/>
            <w:right w:val="none" w:sz="0" w:space="0" w:color="auto"/>
          </w:divBdr>
        </w:div>
        <w:div w:id="1560167139">
          <w:marLeft w:val="1800"/>
          <w:marRight w:val="0"/>
          <w:marTop w:val="0"/>
          <w:marBottom w:val="0"/>
          <w:divBdr>
            <w:top w:val="none" w:sz="0" w:space="0" w:color="auto"/>
            <w:left w:val="none" w:sz="0" w:space="0" w:color="auto"/>
            <w:bottom w:val="none" w:sz="0" w:space="0" w:color="auto"/>
            <w:right w:val="none" w:sz="0" w:space="0" w:color="auto"/>
          </w:divBdr>
        </w:div>
      </w:divsChild>
    </w:div>
    <w:div w:id="766581781">
      <w:bodyDiv w:val="1"/>
      <w:marLeft w:val="0"/>
      <w:marRight w:val="0"/>
      <w:marTop w:val="0"/>
      <w:marBottom w:val="0"/>
      <w:divBdr>
        <w:top w:val="none" w:sz="0" w:space="0" w:color="auto"/>
        <w:left w:val="none" w:sz="0" w:space="0" w:color="auto"/>
        <w:bottom w:val="none" w:sz="0" w:space="0" w:color="auto"/>
        <w:right w:val="none" w:sz="0" w:space="0" w:color="auto"/>
      </w:divBdr>
      <w:divsChild>
        <w:div w:id="1941835145">
          <w:marLeft w:val="1211"/>
          <w:marRight w:val="0"/>
          <w:marTop w:val="0"/>
          <w:marBottom w:val="0"/>
          <w:divBdr>
            <w:top w:val="none" w:sz="0" w:space="0" w:color="auto"/>
            <w:left w:val="none" w:sz="0" w:space="0" w:color="auto"/>
            <w:bottom w:val="none" w:sz="0" w:space="0" w:color="auto"/>
            <w:right w:val="none" w:sz="0" w:space="0" w:color="auto"/>
          </w:divBdr>
        </w:div>
        <w:div w:id="1260915610">
          <w:marLeft w:val="0"/>
          <w:marRight w:val="0"/>
          <w:marTop w:val="0"/>
          <w:marBottom w:val="0"/>
          <w:divBdr>
            <w:top w:val="none" w:sz="0" w:space="0" w:color="auto"/>
            <w:left w:val="none" w:sz="0" w:space="0" w:color="auto"/>
            <w:bottom w:val="none" w:sz="0" w:space="0" w:color="auto"/>
            <w:right w:val="none" w:sz="0" w:space="0" w:color="auto"/>
          </w:divBdr>
        </w:div>
        <w:div w:id="716006223">
          <w:marLeft w:val="1211"/>
          <w:marRight w:val="0"/>
          <w:marTop w:val="0"/>
          <w:marBottom w:val="0"/>
          <w:divBdr>
            <w:top w:val="none" w:sz="0" w:space="0" w:color="auto"/>
            <w:left w:val="none" w:sz="0" w:space="0" w:color="auto"/>
            <w:bottom w:val="none" w:sz="0" w:space="0" w:color="auto"/>
            <w:right w:val="none" w:sz="0" w:space="0" w:color="auto"/>
          </w:divBdr>
        </w:div>
        <w:div w:id="1638757166">
          <w:marLeft w:val="0"/>
          <w:marRight w:val="0"/>
          <w:marTop w:val="0"/>
          <w:marBottom w:val="0"/>
          <w:divBdr>
            <w:top w:val="none" w:sz="0" w:space="0" w:color="auto"/>
            <w:left w:val="none" w:sz="0" w:space="0" w:color="auto"/>
            <w:bottom w:val="none" w:sz="0" w:space="0" w:color="auto"/>
            <w:right w:val="none" w:sz="0" w:space="0" w:color="auto"/>
          </w:divBdr>
        </w:div>
        <w:div w:id="1385446793">
          <w:marLeft w:val="1211"/>
          <w:marRight w:val="0"/>
          <w:marTop w:val="0"/>
          <w:marBottom w:val="0"/>
          <w:divBdr>
            <w:top w:val="none" w:sz="0" w:space="0" w:color="auto"/>
            <w:left w:val="none" w:sz="0" w:space="0" w:color="auto"/>
            <w:bottom w:val="none" w:sz="0" w:space="0" w:color="auto"/>
            <w:right w:val="none" w:sz="0" w:space="0" w:color="auto"/>
          </w:divBdr>
        </w:div>
        <w:div w:id="1468545052">
          <w:marLeft w:val="0"/>
          <w:marRight w:val="0"/>
          <w:marTop w:val="0"/>
          <w:marBottom w:val="0"/>
          <w:divBdr>
            <w:top w:val="none" w:sz="0" w:space="0" w:color="auto"/>
            <w:left w:val="none" w:sz="0" w:space="0" w:color="auto"/>
            <w:bottom w:val="none" w:sz="0" w:space="0" w:color="auto"/>
            <w:right w:val="none" w:sz="0" w:space="0" w:color="auto"/>
          </w:divBdr>
        </w:div>
        <w:div w:id="292952503">
          <w:marLeft w:val="1776"/>
          <w:marRight w:val="0"/>
          <w:marTop w:val="0"/>
          <w:marBottom w:val="0"/>
          <w:divBdr>
            <w:top w:val="none" w:sz="0" w:space="0" w:color="auto"/>
            <w:left w:val="none" w:sz="0" w:space="0" w:color="auto"/>
            <w:bottom w:val="none" w:sz="0" w:space="0" w:color="auto"/>
            <w:right w:val="none" w:sz="0" w:space="0" w:color="auto"/>
          </w:divBdr>
        </w:div>
        <w:div w:id="145778283">
          <w:marLeft w:val="177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as1.larioja.org/boletin/Bor_Boletin_visor_Servlet?referencia=10323252-1-PDF-524699-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722</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31</cp:revision>
  <cp:lastPrinted>2024-05-03T10:20:00Z</cp:lastPrinted>
  <dcterms:created xsi:type="dcterms:W3CDTF">2024-05-03T08:04:00Z</dcterms:created>
  <dcterms:modified xsi:type="dcterms:W3CDTF">2024-05-06T16:31:00Z</dcterms:modified>
</cp:coreProperties>
</file>