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1A33338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E6021F">
        <w:t>02</w:t>
      </w:r>
      <w:r w:rsidR="00E517E4" w:rsidRPr="00A756FA">
        <w:t>/</w:t>
      </w:r>
      <w:r w:rsidR="00E6021F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36139B0A" w:rsidR="00261510" w:rsidRPr="004D594F" w:rsidRDefault="006F4E9B" w:rsidP="0047552C">
      <w:pPr>
        <w:pStyle w:val="TtuloNotadePrensa"/>
        <w:jc w:val="both"/>
      </w:pPr>
      <w:bookmarkStart w:id="1" w:name="_Hlk139456888"/>
      <w:bookmarkEnd w:id="0"/>
      <w:r>
        <w:t xml:space="preserve">Autorizado el gasto </w:t>
      </w:r>
      <w:r w:rsidR="00A35224">
        <w:t xml:space="preserve">de </w:t>
      </w:r>
      <w:r>
        <w:t>2,6 millones en la adquisición de</w:t>
      </w:r>
      <w:r w:rsidR="00A35224">
        <w:t xml:space="preserve"> </w:t>
      </w:r>
      <w:r w:rsidR="00E2235D">
        <w:t>siete</w:t>
      </w:r>
      <w:r>
        <w:t xml:space="preserve"> medicamentos para </w:t>
      </w:r>
      <w:r w:rsidR="00E2235D">
        <w:t>uso hospitalario</w:t>
      </w:r>
      <w:r w:rsidR="003F2242">
        <w:t>, así como</w:t>
      </w:r>
      <w:r w:rsidR="00E2235D">
        <w:t xml:space="preserve"> material</w:t>
      </w:r>
      <w:r w:rsidR="00E3229F">
        <w:t xml:space="preserve"> para Anestesiología </w:t>
      </w:r>
      <w:r w:rsidR="00A35224">
        <w:t>del San Pedro</w:t>
      </w:r>
      <w:r w:rsidR="00461780">
        <w:t xml:space="preserve"> </w:t>
      </w:r>
      <w: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1F83513D" w:rsidR="0020207D" w:rsidRDefault="00E4298C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Los fármacos, que se distribuirán en los dos hospitales públicos de la </w:t>
      </w:r>
      <w:r w:rsidR="0085777A">
        <w:rPr>
          <w:b/>
          <w:lang w:val="es-ES"/>
        </w:rPr>
        <w:t>C</w:t>
      </w:r>
      <w:r>
        <w:rPr>
          <w:b/>
          <w:lang w:val="es-ES"/>
        </w:rPr>
        <w:t xml:space="preserve">omunidad, </w:t>
      </w:r>
      <w:r w:rsidR="007B0637">
        <w:rPr>
          <w:b/>
          <w:lang w:val="es-ES"/>
        </w:rPr>
        <w:t xml:space="preserve">están destinados al tratamiento de las migrañas, el cáncer de mama avanzado y la esclerosis múltiple, entre otras patologías </w:t>
      </w:r>
    </w:p>
    <w:p w14:paraId="3BE85820" w14:textId="77777777" w:rsidR="007B0637" w:rsidRDefault="007B0637" w:rsidP="0047552C">
      <w:pPr>
        <w:pStyle w:val="CuerpodetextoNotadePrensa"/>
        <w:rPr>
          <w:b/>
          <w:lang w:val="es-ES"/>
        </w:rPr>
      </w:pPr>
    </w:p>
    <w:p w14:paraId="6CD63A26" w14:textId="6CFEB723" w:rsidR="007B0637" w:rsidRPr="007B0637" w:rsidRDefault="007B0637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utilización de sensores de nivel de consciencia </w:t>
      </w:r>
      <w:r w:rsidRPr="007B0637">
        <w:rPr>
          <w:b/>
          <w:lang w:val="es-ES"/>
        </w:rPr>
        <w:t xml:space="preserve">mejora la práctica clínica de los anestesistas y garantiza la seguridad </w:t>
      </w:r>
      <w:r w:rsidR="00066305">
        <w:rPr>
          <w:b/>
          <w:lang w:val="es-ES"/>
        </w:rPr>
        <w:t>de los pacientes</w:t>
      </w:r>
      <w:r>
        <w:rPr>
          <w:b/>
          <w:lang w:val="es-ES"/>
        </w:rPr>
        <w:t xml:space="preserve"> evitando un exceso o déficit de sedación</w:t>
      </w:r>
    </w:p>
    <w:p w14:paraId="7B095281" w14:textId="2FAF1686" w:rsidR="001037A5" w:rsidRPr="00E6021F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E6021F" w:rsidRDefault="0020207D" w:rsidP="0047552C">
      <w:pPr>
        <w:pStyle w:val="CuerpodetextoNotadePrensa"/>
        <w:rPr>
          <w:lang w:val="es-ES"/>
        </w:rPr>
      </w:pPr>
    </w:p>
    <w:p w14:paraId="25B8B1FB" w14:textId="3DC8C505" w:rsidR="0050187E" w:rsidRPr="0050187E" w:rsidRDefault="0050187E" w:rsidP="0050187E">
      <w:pPr>
        <w:pStyle w:val="CuerpodetextoNotadePrensa"/>
        <w:rPr>
          <w:color w:val="auto"/>
          <w:shd w:val="clear" w:color="auto" w:fill="FFFFFF"/>
          <w:lang w:val="es-ES"/>
        </w:rPr>
      </w:pPr>
      <w:r w:rsidRPr="00ED1394">
        <w:rPr>
          <w:color w:val="auto"/>
          <w:shd w:val="clear" w:color="auto" w:fill="FFFFFF"/>
          <w:lang w:val="es-ES"/>
        </w:rPr>
        <w:t>El Consejo de Gobierno ha autorizado hoy</w:t>
      </w:r>
      <w:r>
        <w:rPr>
          <w:color w:val="auto"/>
          <w:shd w:val="clear" w:color="auto" w:fill="FFFFFF"/>
          <w:lang w:val="es-ES"/>
        </w:rPr>
        <w:t xml:space="preserve">, </w:t>
      </w:r>
      <w:r w:rsidR="0085777A">
        <w:rPr>
          <w:color w:val="auto"/>
          <w:shd w:val="clear" w:color="auto" w:fill="FFFFFF"/>
          <w:lang w:val="es-ES"/>
        </w:rPr>
        <w:t>2 de abril</w:t>
      </w:r>
      <w:r>
        <w:rPr>
          <w:color w:val="auto"/>
          <w:shd w:val="clear" w:color="auto" w:fill="FFFFFF"/>
          <w:lang w:val="es-ES"/>
        </w:rPr>
        <w:t>,</w:t>
      </w:r>
      <w:r w:rsidRPr="00ED1394">
        <w:rPr>
          <w:color w:val="auto"/>
          <w:shd w:val="clear" w:color="auto" w:fill="FFFFFF"/>
          <w:lang w:val="es-ES"/>
        </w:rPr>
        <w:t xml:space="preserve"> una partida de </w:t>
      </w:r>
      <w:r>
        <w:rPr>
          <w:color w:val="auto"/>
          <w:shd w:val="clear" w:color="auto" w:fill="FFFFFF"/>
          <w:lang w:val="es-ES"/>
        </w:rPr>
        <w:t>2.608.223,32 euros</w:t>
      </w:r>
      <w:r w:rsidRPr="00ED1394">
        <w:rPr>
          <w:color w:val="auto"/>
          <w:shd w:val="clear" w:color="auto" w:fill="FFFFFF"/>
          <w:lang w:val="es-ES"/>
        </w:rPr>
        <w:t xml:space="preserve"> para la adquisición </w:t>
      </w:r>
      <w:r>
        <w:rPr>
          <w:color w:val="auto"/>
          <w:shd w:val="clear" w:color="auto" w:fill="FFFFFF"/>
          <w:lang w:val="es-ES"/>
        </w:rPr>
        <w:t>medicamentos de uso hospitalario para el servicio de Farmacia del Servicio Riojano de Salud (SERIS</w:t>
      </w:r>
      <w:r w:rsidR="00E2235D">
        <w:rPr>
          <w:color w:val="auto"/>
          <w:shd w:val="clear" w:color="auto" w:fill="FFFFFF"/>
          <w:lang w:val="es-ES"/>
        </w:rPr>
        <w:t>)</w:t>
      </w:r>
      <w:r>
        <w:rPr>
          <w:color w:val="auto"/>
          <w:shd w:val="clear" w:color="auto" w:fill="FFFFFF"/>
          <w:lang w:val="es-ES"/>
        </w:rPr>
        <w:t xml:space="preserve"> y de </w:t>
      </w:r>
      <w:r w:rsidR="00E2235D">
        <w:rPr>
          <w:color w:val="auto"/>
          <w:shd w:val="clear" w:color="auto" w:fill="FFFFFF"/>
          <w:lang w:val="es-ES"/>
        </w:rPr>
        <w:t>material</w:t>
      </w:r>
      <w:r>
        <w:rPr>
          <w:color w:val="auto"/>
          <w:shd w:val="clear" w:color="auto" w:fill="FFFFFF"/>
          <w:lang w:val="es-ES"/>
        </w:rPr>
        <w:t xml:space="preserve"> para el Servicio de Anestesiología y Reanimación del Hospital San Pedro de Logroño. En total se comprarán </w:t>
      </w:r>
      <w:r w:rsidRPr="00FB4DA4">
        <w:rPr>
          <w:color w:val="auto"/>
          <w:shd w:val="clear" w:color="auto" w:fill="FFFFFF"/>
          <w:lang w:val="es-ES"/>
        </w:rPr>
        <w:t>316.324 unidades</w:t>
      </w:r>
      <w:r>
        <w:rPr>
          <w:color w:val="auto"/>
          <w:shd w:val="clear" w:color="auto" w:fill="FFFFFF"/>
          <w:lang w:val="es-ES"/>
        </w:rPr>
        <w:t xml:space="preserve"> de fármacos destinados al tratamiento</w:t>
      </w:r>
      <w:r w:rsidR="0085777A">
        <w:rPr>
          <w:color w:val="auto"/>
          <w:shd w:val="clear" w:color="auto" w:fill="FFFFFF"/>
          <w:lang w:val="es-ES"/>
        </w:rPr>
        <w:t xml:space="preserve">, entre otras patologías, </w:t>
      </w:r>
      <w:r>
        <w:rPr>
          <w:color w:val="auto"/>
          <w:shd w:val="clear" w:color="auto" w:fill="FFFFFF"/>
          <w:lang w:val="es-ES"/>
        </w:rPr>
        <w:t xml:space="preserve">de la migraña, el cáncer de mama avanzado o </w:t>
      </w:r>
      <w:proofErr w:type="spellStart"/>
      <w:r>
        <w:rPr>
          <w:color w:val="auto"/>
          <w:shd w:val="clear" w:color="auto" w:fill="FFFFFF"/>
          <w:lang w:val="es-ES"/>
        </w:rPr>
        <w:t>metastásico</w:t>
      </w:r>
      <w:proofErr w:type="spellEnd"/>
      <w:r w:rsidR="00FB4DA4">
        <w:rPr>
          <w:color w:val="auto"/>
          <w:shd w:val="clear" w:color="auto" w:fill="FFFFFF"/>
          <w:lang w:val="es-ES"/>
        </w:rPr>
        <w:t xml:space="preserve"> y</w:t>
      </w:r>
      <w:r w:rsidR="00E2235D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>la esclerosos múltiple (EMR), cuyo importe alcanza 1.184.118,32 euros</w:t>
      </w:r>
      <w:r w:rsidR="00E2235D">
        <w:rPr>
          <w:color w:val="auto"/>
          <w:shd w:val="clear" w:color="auto" w:fill="FFFFFF"/>
          <w:lang w:val="es-ES"/>
        </w:rPr>
        <w:t>,</w:t>
      </w:r>
      <w:r>
        <w:rPr>
          <w:color w:val="auto"/>
          <w:shd w:val="clear" w:color="auto" w:fill="FFFFFF"/>
          <w:lang w:val="es-ES"/>
        </w:rPr>
        <w:t xml:space="preserve"> </w:t>
      </w:r>
      <w:r w:rsidR="00FB4DA4">
        <w:rPr>
          <w:color w:val="auto"/>
          <w:shd w:val="clear" w:color="auto" w:fill="FFFFFF"/>
          <w:lang w:val="es-ES"/>
        </w:rPr>
        <w:t>así como</w:t>
      </w:r>
      <w:r>
        <w:rPr>
          <w:color w:val="auto"/>
          <w:shd w:val="clear" w:color="auto" w:fill="FFFFFF"/>
          <w:lang w:val="es-ES"/>
        </w:rPr>
        <w:t xml:space="preserve"> </w:t>
      </w:r>
      <w:r w:rsidR="00111514">
        <w:rPr>
          <w:color w:val="auto"/>
          <w:shd w:val="clear" w:color="auto" w:fill="FFFFFF"/>
          <w:lang w:val="es-ES"/>
        </w:rPr>
        <w:t xml:space="preserve">15.650 </w:t>
      </w:r>
      <w:r w:rsidR="007921B9" w:rsidRPr="007921B9">
        <w:rPr>
          <w:lang w:val="es-ES"/>
        </w:rPr>
        <w:t xml:space="preserve">sensores de nivel de consciencia para el Servicio de Anestesiología </w:t>
      </w:r>
      <w:r w:rsidR="007921B9">
        <w:rPr>
          <w:lang w:val="es-ES"/>
        </w:rPr>
        <w:t xml:space="preserve">y Reanimación </w:t>
      </w:r>
      <w:r w:rsidR="007921B9" w:rsidRPr="007921B9">
        <w:rPr>
          <w:lang w:val="es-ES"/>
        </w:rPr>
        <w:t xml:space="preserve">del Hospital San Pedro, valorados </w:t>
      </w:r>
      <w:r w:rsidR="0085777A">
        <w:rPr>
          <w:rFonts w:eastAsia="Times New Roman"/>
          <w:lang w:val="es-ES" w:eastAsia="es-ES"/>
        </w:rPr>
        <w:t>en</w:t>
      </w:r>
      <w:r w:rsidR="007921B9" w:rsidRPr="007921B9">
        <w:rPr>
          <w:rFonts w:eastAsia="Times New Roman"/>
          <w:lang w:val="es-ES" w:eastAsia="es-ES"/>
        </w:rPr>
        <w:t xml:space="preserve"> </w:t>
      </w:r>
      <w:r w:rsidR="007921B9">
        <w:rPr>
          <w:rFonts w:eastAsia="Times New Roman"/>
          <w:lang w:val="es-ES" w:eastAsia="es-ES"/>
        </w:rPr>
        <w:t>424.105 euros</w:t>
      </w:r>
      <w:r w:rsidR="0085777A">
        <w:rPr>
          <w:rFonts w:eastAsia="Times New Roman"/>
          <w:lang w:val="es-ES" w:eastAsia="es-ES"/>
        </w:rPr>
        <w:t>.</w:t>
      </w:r>
      <w:r w:rsidR="007921B9">
        <w:rPr>
          <w:b/>
          <w:lang w:val="es-ES"/>
        </w:rPr>
        <w:t xml:space="preserve"> </w:t>
      </w:r>
    </w:p>
    <w:p w14:paraId="15C4EFB2" w14:textId="77777777" w:rsidR="0020207D" w:rsidRPr="00E6021F" w:rsidRDefault="0020207D" w:rsidP="0047552C">
      <w:pPr>
        <w:pStyle w:val="CuerpodetextoNotadePrensa"/>
        <w:rPr>
          <w:lang w:val="es-ES"/>
        </w:rPr>
      </w:pPr>
    </w:p>
    <w:p w14:paraId="048BB38F" w14:textId="5A3B2D20" w:rsidR="00E2235D" w:rsidRDefault="00E2235D" w:rsidP="00E2235D">
      <w:pPr>
        <w:pStyle w:val="CuerpodetextoNotadePrensa"/>
        <w:rPr>
          <w:lang w:val="es-ES"/>
        </w:rPr>
      </w:pPr>
      <w:r>
        <w:rPr>
          <w:rFonts w:eastAsia="Times New Roman"/>
          <w:lang w:val="es-ES" w:eastAsia="es-ES"/>
        </w:rPr>
        <w:t xml:space="preserve">El contrato para la adquisición de medicamentos de uso hospitalario se </w:t>
      </w:r>
      <w:r>
        <w:rPr>
          <w:lang w:val="es-ES"/>
        </w:rPr>
        <w:t xml:space="preserve">tramitará por </w:t>
      </w:r>
      <w:r w:rsidRPr="006A2069">
        <w:rPr>
          <w:lang w:val="es-ES"/>
        </w:rPr>
        <w:t>procedimiento negociado en exclusividad</w:t>
      </w:r>
      <w:r>
        <w:rPr>
          <w:lang w:val="es-ES"/>
        </w:rPr>
        <w:t xml:space="preserve"> con </w:t>
      </w:r>
      <w:proofErr w:type="spellStart"/>
      <w:r>
        <w:rPr>
          <w:lang w:val="es-ES"/>
        </w:rPr>
        <w:t>Novartis</w:t>
      </w:r>
      <w:proofErr w:type="spellEnd"/>
      <w:r>
        <w:rPr>
          <w:lang w:val="es-ES"/>
        </w:rPr>
        <w:t xml:space="preserve"> Farmacéutica S.A., que es </w:t>
      </w:r>
      <w:r w:rsidRPr="007F1561">
        <w:rPr>
          <w:lang w:val="es-ES"/>
        </w:rPr>
        <w:t xml:space="preserve">la única </w:t>
      </w:r>
      <w:r>
        <w:rPr>
          <w:lang w:val="es-ES"/>
        </w:rPr>
        <w:t>c</w:t>
      </w:r>
      <w:r w:rsidRPr="007F1561">
        <w:rPr>
          <w:lang w:val="es-ES"/>
        </w:rPr>
        <w:t xml:space="preserve">ompañía autorizada en España para la comercialización de los principios activos de </w:t>
      </w:r>
      <w:r>
        <w:rPr>
          <w:lang w:val="es-ES"/>
        </w:rPr>
        <w:t>estos</w:t>
      </w:r>
      <w:r w:rsidRPr="007F1561">
        <w:rPr>
          <w:lang w:val="es-ES"/>
        </w:rPr>
        <w:t xml:space="preserve"> </w:t>
      </w:r>
      <w:r>
        <w:rPr>
          <w:lang w:val="es-ES"/>
        </w:rPr>
        <w:t>fármacos. En concreto</w:t>
      </w:r>
      <w:r w:rsidR="0085777A">
        <w:rPr>
          <w:lang w:val="es-ES"/>
        </w:rPr>
        <w:t>,</w:t>
      </w:r>
      <w:r>
        <w:rPr>
          <w:lang w:val="es-ES"/>
        </w:rPr>
        <w:t xml:space="preserve"> se trata de siete lotes destinados al tratamiento </w:t>
      </w:r>
      <w:r w:rsidRPr="00E2235D">
        <w:rPr>
          <w:sz w:val="22"/>
          <w:szCs w:val="22"/>
          <w:lang w:val="es-ES"/>
        </w:rPr>
        <w:t xml:space="preserve">de </w:t>
      </w:r>
      <w:r w:rsidRPr="00E2235D">
        <w:rPr>
          <w:color w:val="212121"/>
          <w:shd w:val="clear" w:color="auto" w:fill="FFFFFF"/>
          <w:lang w:val="es-ES"/>
        </w:rPr>
        <w:t xml:space="preserve">migraña, síndromes de fiebre periódica </w:t>
      </w:r>
      <w:proofErr w:type="spellStart"/>
      <w:r w:rsidRPr="00E2235D">
        <w:rPr>
          <w:color w:val="212121"/>
          <w:shd w:val="clear" w:color="auto" w:fill="FFFFFF"/>
          <w:lang w:val="es-ES"/>
        </w:rPr>
        <w:t>autoinflamatorio</w:t>
      </w:r>
      <w:proofErr w:type="spellEnd"/>
      <w:r w:rsidRPr="00E2235D">
        <w:rPr>
          <w:color w:val="212121"/>
          <w:shd w:val="clear" w:color="auto" w:fill="FFFFFF"/>
          <w:lang w:val="es-ES"/>
        </w:rPr>
        <w:t xml:space="preserve">, esclerosis múltiple (EMR), cáncer de mama avanzado o </w:t>
      </w:r>
      <w:proofErr w:type="spellStart"/>
      <w:r w:rsidRPr="00E2235D">
        <w:rPr>
          <w:color w:val="212121"/>
          <w:shd w:val="clear" w:color="auto" w:fill="FFFFFF"/>
          <w:lang w:val="es-ES"/>
        </w:rPr>
        <w:t>metastásico</w:t>
      </w:r>
      <w:proofErr w:type="spellEnd"/>
      <w:r w:rsidRPr="00E2235D">
        <w:rPr>
          <w:color w:val="212121"/>
          <w:shd w:val="clear" w:color="auto" w:fill="FFFFFF"/>
          <w:lang w:val="es-ES"/>
        </w:rPr>
        <w:t>, melanoma y leucemia.</w:t>
      </w:r>
      <w:r>
        <w:rPr>
          <w:lang w:val="es-ES"/>
        </w:rPr>
        <w:t xml:space="preserve"> Son los siguientes:</w:t>
      </w:r>
    </w:p>
    <w:p w14:paraId="1CB06191" w14:textId="45EBDD0A" w:rsidR="00E2235D" w:rsidRPr="007F1561" w:rsidRDefault="00E2235D" w:rsidP="00E2235D">
      <w:pPr>
        <w:pStyle w:val="CuerpodetextoNotadePrensa"/>
        <w:rPr>
          <w:lang w:val="es-ES"/>
        </w:rPr>
      </w:pPr>
      <w:r>
        <w:rPr>
          <w:lang w:val="es-ES"/>
        </w:rPr>
        <w:t xml:space="preserve"> </w:t>
      </w:r>
    </w:p>
    <w:p w14:paraId="68FA13C2" w14:textId="3B07A4CA" w:rsidR="00342B81" w:rsidRDefault="00512F69" w:rsidP="00E2235D">
      <w:pPr>
        <w:pStyle w:val="CuerpodetextoNotadePrensa"/>
        <w:rPr>
          <w:lang w:val="es-ES"/>
        </w:rPr>
      </w:pPr>
      <w:r w:rsidRPr="00512F69">
        <w:rPr>
          <w:rFonts w:eastAsia="Times New Roman"/>
          <w:lang w:val="es-ES" w:eastAsia="es-ES"/>
        </w:rPr>
        <w:t>-</w:t>
      </w:r>
      <w:r w:rsidR="00342B81" w:rsidRPr="00512F69">
        <w:rPr>
          <w:rFonts w:eastAsia="Times New Roman"/>
          <w:b/>
          <w:lang w:val="es-ES" w:eastAsia="es-ES"/>
        </w:rPr>
        <w:t xml:space="preserve">649 </w:t>
      </w:r>
      <w:r w:rsidR="00E2235D">
        <w:rPr>
          <w:rFonts w:eastAsia="Times New Roman"/>
          <w:lang w:val="es-ES" w:eastAsia="es-ES"/>
        </w:rPr>
        <w:t xml:space="preserve">unidades de </w:t>
      </w:r>
      <w:proofErr w:type="spellStart"/>
      <w:r w:rsidR="00342B81">
        <w:rPr>
          <w:lang w:val="es-ES"/>
        </w:rPr>
        <w:t>Aimovig</w:t>
      </w:r>
      <w:proofErr w:type="spellEnd"/>
      <w:r w:rsidR="00342B81">
        <w:rPr>
          <w:lang w:val="es-ES"/>
        </w:rPr>
        <w:t xml:space="preserve"> </w:t>
      </w:r>
      <w:r w:rsidR="00E2235D" w:rsidRPr="00DF1D10">
        <w:rPr>
          <w:lang w:val="es-ES"/>
        </w:rPr>
        <w:t>(</w:t>
      </w:r>
      <w:r w:rsidR="00E2235D">
        <w:rPr>
          <w:lang w:val="es-ES"/>
        </w:rPr>
        <w:t xml:space="preserve">principio activo </w:t>
      </w:r>
      <w:proofErr w:type="spellStart"/>
      <w:r w:rsidR="00E2235D" w:rsidRPr="00DF1D10">
        <w:rPr>
          <w:i/>
          <w:lang w:val="es-ES"/>
        </w:rPr>
        <w:t>E</w:t>
      </w:r>
      <w:r w:rsidR="00342B81">
        <w:rPr>
          <w:i/>
          <w:lang w:val="es-ES"/>
        </w:rPr>
        <w:t>renumab</w:t>
      </w:r>
      <w:proofErr w:type="spellEnd"/>
      <w:r w:rsidR="00E2235D">
        <w:rPr>
          <w:lang w:val="es-ES"/>
        </w:rPr>
        <w:t xml:space="preserve">), </w:t>
      </w:r>
      <w:r w:rsidR="00166C4D">
        <w:rPr>
          <w:lang w:val="es-ES"/>
        </w:rPr>
        <w:t xml:space="preserve">116 de ellas para el Hospital de Calahorra, que está </w:t>
      </w:r>
      <w:r w:rsidR="00E2235D" w:rsidRPr="00DF1D10">
        <w:rPr>
          <w:lang w:val="es-ES"/>
        </w:rPr>
        <w:t>indicado para la</w:t>
      </w:r>
      <w:r w:rsidR="00342B81">
        <w:rPr>
          <w:lang w:val="es-ES"/>
        </w:rPr>
        <w:t xml:space="preserve"> profilaxis </w:t>
      </w:r>
      <w:r w:rsidR="00342B81" w:rsidRPr="00342B81">
        <w:rPr>
          <w:lang w:val="es-ES"/>
        </w:rPr>
        <w:t>de la migraña en adultos con al menos 4 días de migraña al mes</w:t>
      </w:r>
      <w:r w:rsidR="00342B81">
        <w:rPr>
          <w:lang w:val="es-ES"/>
        </w:rPr>
        <w:t>.</w:t>
      </w:r>
    </w:p>
    <w:p w14:paraId="4F44BF13" w14:textId="7A5062A8" w:rsidR="00342B81" w:rsidRPr="00342B81" w:rsidRDefault="00342B81" w:rsidP="00E2235D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512F69">
        <w:rPr>
          <w:b/>
          <w:lang w:val="es-ES"/>
        </w:rPr>
        <w:t>40</w:t>
      </w:r>
      <w:r>
        <w:rPr>
          <w:lang w:val="es-ES"/>
        </w:rPr>
        <w:t xml:space="preserve"> </w:t>
      </w:r>
      <w:r w:rsidR="00E2235D">
        <w:rPr>
          <w:lang w:val="es-ES"/>
        </w:rPr>
        <w:t xml:space="preserve">unidades de </w:t>
      </w:r>
      <w:proofErr w:type="spellStart"/>
      <w:r>
        <w:rPr>
          <w:lang w:val="es-ES"/>
        </w:rPr>
        <w:t>Ilaris</w:t>
      </w:r>
      <w:proofErr w:type="spellEnd"/>
      <w:r w:rsidR="00E2235D" w:rsidRPr="00DF1D10">
        <w:rPr>
          <w:lang w:val="es-ES"/>
        </w:rPr>
        <w:t xml:space="preserve"> (</w:t>
      </w:r>
      <w:r w:rsidR="00E2235D">
        <w:rPr>
          <w:lang w:val="es-ES"/>
        </w:rPr>
        <w:t xml:space="preserve">principio activo </w:t>
      </w:r>
      <w:proofErr w:type="spellStart"/>
      <w:r>
        <w:rPr>
          <w:i/>
          <w:lang w:val="es-ES"/>
        </w:rPr>
        <w:t>Canakinumab</w:t>
      </w:r>
      <w:proofErr w:type="spellEnd"/>
      <w:r w:rsidR="00E2235D">
        <w:rPr>
          <w:lang w:val="es-ES"/>
        </w:rPr>
        <w:t xml:space="preserve">), para </w:t>
      </w:r>
      <w:r>
        <w:rPr>
          <w:lang w:val="es-ES"/>
        </w:rPr>
        <w:t>s</w:t>
      </w:r>
      <w:r w:rsidRPr="00342B81">
        <w:rPr>
          <w:lang w:val="es-ES"/>
        </w:rPr>
        <w:t>índromes de fiebre periódica</w:t>
      </w:r>
      <w:r>
        <w:rPr>
          <w:lang w:val="es-ES"/>
        </w:rPr>
        <w:t xml:space="preserve"> y gota artrítica, entre otras </w:t>
      </w:r>
      <w:r w:rsidR="00C764E9">
        <w:rPr>
          <w:lang w:val="es-ES"/>
        </w:rPr>
        <w:t>pat</w:t>
      </w:r>
      <w:r>
        <w:rPr>
          <w:lang w:val="es-ES"/>
        </w:rPr>
        <w:t xml:space="preserve">ologías. </w:t>
      </w:r>
    </w:p>
    <w:p w14:paraId="21A661BD" w14:textId="4B478A4B" w:rsidR="00DE0CF2" w:rsidRPr="00512F69" w:rsidRDefault="00E2235D" w:rsidP="00E2235D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DE0CF2" w:rsidRPr="00512F69">
        <w:rPr>
          <w:b/>
          <w:lang w:val="es-ES"/>
        </w:rPr>
        <w:t>100</w:t>
      </w:r>
      <w:r>
        <w:rPr>
          <w:lang w:val="es-ES"/>
        </w:rPr>
        <w:t xml:space="preserve"> unidades de </w:t>
      </w:r>
      <w:proofErr w:type="spellStart"/>
      <w:r w:rsidR="00DE0CF2">
        <w:rPr>
          <w:lang w:val="es-ES"/>
        </w:rPr>
        <w:t>Kesimpta</w:t>
      </w:r>
      <w:proofErr w:type="spellEnd"/>
      <w:r w:rsidRPr="00DF1D10">
        <w:rPr>
          <w:lang w:val="es-ES"/>
        </w:rPr>
        <w:t xml:space="preserve"> (</w:t>
      </w:r>
      <w:r>
        <w:rPr>
          <w:lang w:val="es-ES"/>
        </w:rPr>
        <w:t xml:space="preserve">principio activo </w:t>
      </w:r>
      <w:proofErr w:type="spellStart"/>
      <w:r w:rsidRPr="00DF1D10">
        <w:rPr>
          <w:i/>
          <w:lang w:val="es-ES"/>
        </w:rPr>
        <w:t>O</w:t>
      </w:r>
      <w:r w:rsidR="00DE0CF2">
        <w:rPr>
          <w:i/>
          <w:lang w:val="es-ES"/>
        </w:rPr>
        <w:t>fatunumab</w:t>
      </w:r>
      <w:proofErr w:type="spellEnd"/>
      <w:r w:rsidR="00DE0CF2">
        <w:rPr>
          <w:i/>
          <w:lang w:val="es-ES"/>
        </w:rPr>
        <w:t>)</w:t>
      </w:r>
      <w:r w:rsidR="00DE0CF2" w:rsidRPr="00DE0CF2">
        <w:rPr>
          <w:lang w:val="es-ES"/>
        </w:rPr>
        <w:t>,</w:t>
      </w:r>
      <w:r w:rsidR="00DE0CF2">
        <w:rPr>
          <w:i/>
          <w:lang w:val="es-ES"/>
        </w:rPr>
        <w:t xml:space="preserve"> </w:t>
      </w:r>
      <w:r w:rsidRPr="00DF1D10">
        <w:rPr>
          <w:lang w:val="es-ES"/>
        </w:rPr>
        <w:t xml:space="preserve">indicado </w:t>
      </w:r>
      <w:r w:rsidR="00C764E9" w:rsidRPr="00C764E9">
        <w:rPr>
          <w:lang w:val="es-ES"/>
        </w:rPr>
        <w:t>para el tratamiento de pacientes adultos con formas recurrente</w:t>
      </w:r>
      <w:r w:rsidR="00C764E9">
        <w:rPr>
          <w:lang w:val="es-ES"/>
        </w:rPr>
        <w:t>s de esclerosis múltiple (EMR)</w:t>
      </w:r>
      <w:r w:rsidR="00512F69">
        <w:rPr>
          <w:lang w:val="es-ES"/>
        </w:rPr>
        <w:t>.</w:t>
      </w:r>
      <w:r w:rsidR="00C764E9">
        <w:rPr>
          <w:lang w:val="es-ES"/>
        </w:rPr>
        <w:t xml:space="preserve"> </w:t>
      </w:r>
      <w:r w:rsidR="00DE0CF2">
        <w:rPr>
          <w:rFonts w:eastAsia="Times New Roman"/>
          <w:lang w:val="es-ES" w:eastAsia="es-ES"/>
        </w:rPr>
        <w:t>-</w:t>
      </w:r>
      <w:r w:rsidR="00DE0CF2" w:rsidRPr="00512F69">
        <w:rPr>
          <w:rFonts w:eastAsia="Times New Roman"/>
          <w:b/>
          <w:lang w:val="es-ES" w:eastAsia="es-ES"/>
        </w:rPr>
        <w:t>13.020</w:t>
      </w:r>
      <w:r w:rsidR="00DE0CF2">
        <w:rPr>
          <w:rFonts w:eastAsia="Times New Roman"/>
          <w:lang w:val="es-ES" w:eastAsia="es-ES"/>
        </w:rPr>
        <w:t xml:space="preserve"> unidades de </w:t>
      </w:r>
      <w:proofErr w:type="spellStart"/>
      <w:r w:rsidR="00DE0CF2">
        <w:rPr>
          <w:lang w:val="es-ES"/>
        </w:rPr>
        <w:t>Kisqali</w:t>
      </w:r>
      <w:proofErr w:type="spellEnd"/>
      <w:r w:rsidR="00DE0CF2">
        <w:rPr>
          <w:lang w:val="es-ES"/>
        </w:rPr>
        <w:t xml:space="preserve"> </w:t>
      </w:r>
      <w:r w:rsidR="00DE0CF2" w:rsidRPr="00DF1D10">
        <w:rPr>
          <w:lang w:val="es-ES"/>
        </w:rPr>
        <w:t>(</w:t>
      </w:r>
      <w:r w:rsidR="00DE0CF2">
        <w:rPr>
          <w:lang w:val="es-ES"/>
        </w:rPr>
        <w:t xml:space="preserve">principio activo </w:t>
      </w:r>
      <w:proofErr w:type="spellStart"/>
      <w:r w:rsidR="00DE0CF2">
        <w:rPr>
          <w:i/>
          <w:lang w:val="es-ES"/>
        </w:rPr>
        <w:t>Ribociclib</w:t>
      </w:r>
      <w:proofErr w:type="spellEnd"/>
      <w:r w:rsidR="00DE0CF2">
        <w:rPr>
          <w:lang w:val="es-ES"/>
        </w:rPr>
        <w:t>),</w:t>
      </w:r>
      <w:r w:rsidR="00512F69">
        <w:rPr>
          <w:lang w:val="es-ES"/>
        </w:rPr>
        <w:t xml:space="preserve"> </w:t>
      </w:r>
      <w:r w:rsidR="00512F69" w:rsidRPr="00512F69">
        <w:rPr>
          <w:lang w:val="es-ES"/>
        </w:rPr>
        <w:t xml:space="preserve">para el tratamiento de mujeres con cáncer de mama localmente avanzado o </w:t>
      </w:r>
      <w:proofErr w:type="spellStart"/>
      <w:r w:rsidR="00512F69" w:rsidRPr="00512F69">
        <w:rPr>
          <w:lang w:val="es-ES"/>
        </w:rPr>
        <w:t>metastásico</w:t>
      </w:r>
      <w:proofErr w:type="spellEnd"/>
      <w:r w:rsidR="00512F69">
        <w:rPr>
          <w:lang w:val="es-ES"/>
        </w:rPr>
        <w:t>.</w:t>
      </w:r>
    </w:p>
    <w:p w14:paraId="1507E26E" w14:textId="70736EB2" w:rsidR="00DE0CF2" w:rsidRPr="00512F69" w:rsidRDefault="00DE0CF2" w:rsidP="00E2235D">
      <w:pPr>
        <w:pStyle w:val="CuerpodetextoNotadePrensa"/>
        <w:rPr>
          <w:lang w:val="es-ES"/>
        </w:rPr>
      </w:pPr>
      <w:r>
        <w:rPr>
          <w:rFonts w:eastAsia="Times New Roman"/>
          <w:lang w:val="es-ES" w:eastAsia="es-ES"/>
        </w:rPr>
        <w:lastRenderedPageBreak/>
        <w:t>-</w:t>
      </w:r>
      <w:r w:rsidR="00FD4387" w:rsidRPr="00512F69">
        <w:rPr>
          <w:rFonts w:eastAsia="Times New Roman"/>
          <w:b/>
          <w:lang w:val="es-ES" w:eastAsia="es-ES"/>
        </w:rPr>
        <w:t>2.333</w:t>
      </w:r>
      <w:r>
        <w:rPr>
          <w:rFonts w:eastAsia="Times New Roman"/>
          <w:lang w:val="es-ES" w:eastAsia="es-ES"/>
        </w:rPr>
        <w:t xml:space="preserve"> unidades de </w:t>
      </w:r>
      <w:proofErr w:type="spellStart"/>
      <w:r w:rsidR="00FD4387">
        <w:rPr>
          <w:lang w:val="es-ES"/>
        </w:rPr>
        <w:t>Mekinist</w:t>
      </w:r>
      <w:proofErr w:type="spellEnd"/>
      <w:r>
        <w:rPr>
          <w:lang w:val="es-ES"/>
        </w:rPr>
        <w:t xml:space="preserve"> </w:t>
      </w:r>
      <w:r w:rsidRPr="00DF1D10">
        <w:rPr>
          <w:lang w:val="es-ES"/>
        </w:rPr>
        <w:t>(</w:t>
      </w:r>
      <w:r>
        <w:rPr>
          <w:lang w:val="es-ES"/>
        </w:rPr>
        <w:t xml:space="preserve">principio activo </w:t>
      </w:r>
      <w:proofErr w:type="spellStart"/>
      <w:r w:rsidR="00FD4387">
        <w:rPr>
          <w:i/>
          <w:lang w:val="es-ES"/>
        </w:rPr>
        <w:t>Trametinib</w:t>
      </w:r>
      <w:proofErr w:type="spellEnd"/>
      <w:r>
        <w:rPr>
          <w:lang w:val="es-ES"/>
        </w:rPr>
        <w:t>),</w:t>
      </w:r>
      <w:r w:rsidR="00512F69">
        <w:rPr>
          <w:lang w:val="es-ES"/>
        </w:rPr>
        <w:t xml:space="preserve"> para el tratamiento de melanoma</w:t>
      </w:r>
      <w:r w:rsidR="009A6669">
        <w:rPr>
          <w:lang w:val="es-ES"/>
        </w:rPr>
        <w:t>, t</w:t>
      </w:r>
      <w:r w:rsidR="009A6669" w:rsidRPr="009A6669">
        <w:rPr>
          <w:lang w:val="es-ES"/>
        </w:rPr>
        <w:t>ratamiento adyuvante de melanoma</w:t>
      </w:r>
      <w:r w:rsidR="00512F69">
        <w:rPr>
          <w:lang w:val="es-ES"/>
        </w:rPr>
        <w:t xml:space="preserve"> y c</w:t>
      </w:r>
      <w:r w:rsidR="00512F69" w:rsidRPr="00512F69">
        <w:rPr>
          <w:lang w:val="es-ES"/>
        </w:rPr>
        <w:t xml:space="preserve">áncer de pulmón no </w:t>
      </w:r>
      <w:proofErr w:type="spellStart"/>
      <w:r w:rsidR="00512F69" w:rsidRPr="00512F69">
        <w:rPr>
          <w:lang w:val="es-ES"/>
        </w:rPr>
        <w:t>microcítico</w:t>
      </w:r>
      <w:proofErr w:type="spellEnd"/>
      <w:r w:rsidR="00512F69">
        <w:rPr>
          <w:lang w:val="es-ES"/>
        </w:rPr>
        <w:t>.</w:t>
      </w:r>
    </w:p>
    <w:p w14:paraId="23562117" w14:textId="176CEEAA" w:rsidR="00DE0CF2" w:rsidRPr="00512F69" w:rsidRDefault="00DE0CF2" w:rsidP="00E2235D">
      <w:pPr>
        <w:pStyle w:val="CuerpodetextoNotadePrensa"/>
        <w:rPr>
          <w:lang w:val="es-ES"/>
        </w:rPr>
      </w:pPr>
      <w:r>
        <w:rPr>
          <w:rFonts w:eastAsia="Times New Roman"/>
          <w:lang w:val="es-ES" w:eastAsia="es-ES"/>
        </w:rPr>
        <w:t>-</w:t>
      </w:r>
      <w:r w:rsidR="00C375C4" w:rsidRPr="00512F69">
        <w:rPr>
          <w:rFonts w:eastAsia="Times New Roman"/>
          <w:b/>
          <w:lang w:val="es-ES" w:eastAsia="es-ES"/>
        </w:rPr>
        <w:t>533</w:t>
      </w:r>
      <w:r w:rsidR="00C375C4">
        <w:rPr>
          <w:rFonts w:eastAsia="Times New Roman"/>
          <w:lang w:val="es-ES" w:eastAsia="es-ES"/>
        </w:rPr>
        <w:t xml:space="preserve"> </w:t>
      </w:r>
      <w:r>
        <w:rPr>
          <w:rFonts w:eastAsia="Times New Roman"/>
          <w:lang w:val="es-ES" w:eastAsia="es-ES"/>
        </w:rPr>
        <w:t xml:space="preserve">unidades de </w:t>
      </w:r>
      <w:proofErr w:type="spellStart"/>
      <w:r w:rsidR="00C375C4">
        <w:rPr>
          <w:lang w:val="es-ES"/>
        </w:rPr>
        <w:t>Rydapt</w:t>
      </w:r>
      <w:proofErr w:type="spellEnd"/>
      <w:r>
        <w:rPr>
          <w:lang w:val="es-ES"/>
        </w:rPr>
        <w:t xml:space="preserve"> </w:t>
      </w:r>
      <w:r w:rsidRPr="00DF1D10">
        <w:rPr>
          <w:lang w:val="es-ES"/>
        </w:rPr>
        <w:t>(</w:t>
      </w:r>
      <w:r>
        <w:rPr>
          <w:lang w:val="es-ES"/>
        </w:rPr>
        <w:t xml:space="preserve">principio activo </w:t>
      </w:r>
      <w:proofErr w:type="spellStart"/>
      <w:r w:rsidR="00C375C4">
        <w:rPr>
          <w:i/>
          <w:lang w:val="es-ES"/>
        </w:rPr>
        <w:t>Midostaurina</w:t>
      </w:r>
      <w:proofErr w:type="spellEnd"/>
      <w:r>
        <w:rPr>
          <w:lang w:val="es-ES"/>
        </w:rPr>
        <w:t>),</w:t>
      </w:r>
      <w:r w:rsidR="00512F69">
        <w:rPr>
          <w:lang w:val="es-ES"/>
        </w:rPr>
        <w:t xml:space="preserve"> </w:t>
      </w:r>
      <w:r w:rsidR="00512F69" w:rsidRPr="00512F69">
        <w:rPr>
          <w:lang w:val="es-ES"/>
        </w:rPr>
        <w:t>para pacientes adultos con leucemia mieloide aguda</w:t>
      </w:r>
      <w:r w:rsidR="00512F69">
        <w:rPr>
          <w:lang w:val="es-ES"/>
        </w:rPr>
        <w:t xml:space="preserve"> y </w:t>
      </w:r>
      <w:proofErr w:type="spellStart"/>
      <w:r w:rsidR="00512F69" w:rsidRPr="00512F69">
        <w:rPr>
          <w:lang w:val="es-ES"/>
        </w:rPr>
        <w:t>mastocitosis</w:t>
      </w:r>
      <w:proofErr w:type="spellEnd"/>
      <w:r w:rsidR="00512F69">
        <w:rPr>
          <w:lang w:val="es-ES"/>
        </w:rPr>
        <w:t>.</w:t>
      </w:r>
    </w:p>
    <w:p w14:paraId="780F1B2E" w14:textId="65F6D192" w:rsidR="00512F69" w:rsidRDefault="00C375C4" w:rsidP="00512F69">
      <w:pPr>
        <w:pStyle w:val="CuerpodetextoNotadePrensa"/>
        <w:rPr>
          <w:lang w:val="es-ES"/>
        </w:rPr>
      </w:pPr>
      <w:r>
        <w:rPr>
          <w:rFonts w:eastAsia="Times New Roman"/>
          <w:lang w:val="es-ES" w:eastAsia="es-ES"/>
        </w:rPr>
        <w:t>-</w:t>
      </w:r>
      <w:r w:rsidR="001C2A22" w:rsidRPr="00512F69">
        <w:rPr>
          <w:rFonts w:eastAsia="Times New Roman"/>
          <w:b/>
          <w:lang w:val="es-ES" w:eastAsia="es-ES"/>
        </w:rPr>
        <w:t>300.000</w:t>
      </w:r>
      <w:r>
        <w:rPr>
          <w:rFonts w:eastAsia="Times New Roman"/>
          <w:lang w:val="es-ES" w:eastAsia="es-ES"/>
        </w:rPr>
        <w:t xml:space="preserve"> unidades de </w:t>
      </w:r>
      <w:proofErr w:type="spellStart"/>
      <w:r>
        <w:rPr>
          <w:lang w:val="es-ES"/>
        </w:rPr>
        <w:t>Tafinlar</w:t>
      </w:r>
      <w:proofErr w:type="spellEnd"/>
      <w:r>
        <w:rPr>
          <w:lang w:val="es-ES"/>
        </w:rPr>
        <w:t xml:space="preserve"> </w:t>
      </w:r>
      <w:r w:rsidRPr="00DF1D10">
        <w:rPr>
          <w:lang w:val="es-ES"/>
        </w:rPr>
        <w:t>(</w:t>
      </w:r>
      <w:r>
        <w:rPr>
          <w:lang w:val="es-ES"/>
        </w:rPr>
        <w:t xml:space="preserve">principio activo </w:t>
      </w:r>
      <w:proofErr w:type="spellStart"/>
      <w:r>
        <w:rPr>
          <w:i/>
          <w:lang w:val="es-ES"/>
        </w:rPr>
        <w:t>Dabrafenib</w:t>
      </w:r>
      <w:proofErr w:type="spellEnd"/>
      <w:r>
        <w:rPr>
          <w:i/>
          <w:lang w:val="es-ES"/>
        </w:rPr>
        <w:t xml:space="preserve"> </w:t>
      </w:r>
      <w:proofErr w:type="spellStart"/>
      <w:r>
        <w:rPr>
          <w:i/>
          <w:lang w:val="es-ES"/>
        </w:rPr>
        <w:t>Mesilato</w:t>
      </w:r>
      <w:proofErr w:type="spellEnd"/>
      <w:r>
        <w:rPr>
          <w:lang w:val="es-ES"/>
        </w:rPr>
        <w:t>),</w:t>
      </w:r>
      <w:r w:rsidR="00512F69">
        <w:rPr>
          <w:lang w:val="es-ES"/>
        </w:rPr>
        <w:t xml:space="preserve"> para el tratamiento de melanoma</w:t>
      </w:r>
      <w:r w:rsidR="009A6669">
        <w:rPr>
          <w:lang w:val="es-ES"/>
        </w:rPr>
        <w:t>, t</w:t>
      </w:r>
      <w:r w:rsidR="009A6669" w:rsidRPr="009A6669">
        <w:rPr>
          <w:lang w:val="es-ES"/>
        </w:rPr>
        <w:t>ratamiento adyuvante de melanoma</w:t>
      </w:r>
      <w:r w:rsidR="00512F69">
        <w:rPr>
          <w:lang w:val="es-ES"/>
        </w:rPr>
        <w:t xml:space="preserve"> y c</w:t>
      </w:r>
      <w:r w:rsidR="00512F69" w:rsidRPr="00512F69">
        <w:rPr>
          <w:lang w:val="es-ES"/>
        </w:rPr>
        <w:t xml:space="preserve">áncer de pulmón no </w:t>
      </w:r>
      <w:proofErr w:type="spellStart"/>
      <w:r w:rsidR="00512F69" w:rsidRPr="00512F69">
        <w:rPr>
          <w:lang w:val="es-ES"/>
        </w:rPr>
        <w:t>microcítico</w:t>
      </w:r>
      <w:proofErr w:type="spellEnd"/>
      <w:r w:rsidR="00512F69">
        <w:rPr>
          <w:lang w:val="es-ES"/>
        </w:rPr>
        <w:t>.</w:t>
      </w:r>
    </w:p>
    <w:p w14:paraId="77D31D90" w14:textId="77777777" w:rsidR="00512F69" w:rsidRDefault="00512F69" w:rsidP="00512F69">
      <w:pPr>
        <w:pStyle w:val="CuerpodetextoNotadePrensa"/>
        <w:rPr>
          <w:rFonts w:eastAsia="Times New Roman"/>
          <w:lang w:val="es-ES" w:eastAsia="es-ES"/>
        </w:rPr>
      </w:pPr>
    </w:p>
    <w:p w14:paraId="443DEE91" w14:textId="5EC17FD6" w:rsidR="00512F69" w:rsidRPr="000D09D5" w:rsidRDefault="00512F69" w:rsidP="00512F69">
      <w:pPr>
        <w:pStyle w:val="CuerpodetextoNotadePrensa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El periodo de ejecución del contrato abarca ocho meses desde</w:t>
      </w:r>
      <w:r w:rsidR="000D09D5">
        <w:rPr>
          <w:rFonts w:eastAsia="Times New Roman"/>
          <w:lang w:val="es-ES" w:eastAsia="es-ES"/>
        </w:rPr>
        <w:t xml:space="preserve"> su formalización, prevista par</w:t>
      </w:r>
      <w:r>
        <w:rPr>
          <w:rFonts w:eastAsia="Times New Roman"/>
          <w:lang w:val="es-ES" w:eastAsia="es-ES"/>
        </w:rPr>
        <w:t xml:space="preserve">a el 1 de mayo, </w:t>
      </w:r>
      <w:r w:rsidRPr="006A2069">
        <w:rPr>
          <w:rFonts w:eastAsia="Times New Roman"/>
          <w:lang w:val="es-ES" w:eastAsia="es-ES"/>
        </w:rPr>
        <w:t xml:space="preserve">con </w:t>
      </w:r>
      <w:r w:rsidRPr="006A2069">
        <w:rPr>
          <w:lang w:val="es-ES"/>
        </w:rPr>
        <w:t>posibilidad de prórroga hasta un máximo de 52 meses</w:t>
      </w:r>
      <w:r>
        <w:rPr>
          <w:lang w:val="es-ES"/>
        </w:rPr>
        <w:t>.</w:t>
      </w:r>
    </w:p>
    <w:p w14:paraId="19234274" w14:textId="78B91768" w:rsidR="006602DA" w:rsidRDefault="006602DA" w:rsidP="00512F69">
      <w:pPr>
        <w:pStyle w:val="CuerpodetextoNotadePrensa"/>
        <w:rPr>
          <w:lang w:val="es-ES"/>
        </w:rPr>
      </w:pPr>
    </w:p>
    <w:p w14:paraId="319E0920" w14:textId="4453FEA9" w:rsidR="00A35224" w:rsidRDefault="00C757A6" w:rsidP="00512F69">
      <w:pPr>
        <w:pStyle w:val="CuerpodetextoNotadePrensa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 xml:space="preserve">Asimismo, el Consejo de Gobierno ha dado luz verde en su reunión de hoy a la inversión de </w:t>
      </w:r>
      <w:r w:rsidR="00117255">
        <w:rPr>
          <w:rFonts w:eastAsia="Times New Roman"/>
          <w:lang w:val="es-ES" w:eastAsia="es-ES"/>
        </w:rPr>
        <w:t>424.105</w:t>
      </w:r>
      <w:r>
        <w:rPr>
          <w:rFonts w:eastAsia="Times New Roman"/>
          <w:lang w:val="es-ES" w:eastAsia="es-ES"/>
        </w:rPr>
        <w:t xml:space="preserve"> euros para el suministro</w:t>
      </w:r>
      <w:r w:rsidR="007C52C4">
        <w:rPr>
          <w:rFonts w:eastAsia="Times New Roman"/>
          <w:lang w:val="es-ES" w:eastAsia="es-ES"/>
        </w:rPr>
        <w:t xml:space="preserve"> </w:t>
      </w:r>
      <w:r w:rsidR="007C52C4" w:rsidRPr="00117255">
        <w:rPr>
          <w:lang w:val="es-ES"/>
        </w:rPr>
        <w:t xml:space="preserve">de </w:t>
      </w:r>
      <w:r w:rsidR="00111514">
        <w:rPr>
          <w:lang w:val="es-ES"/>
        </w:rPr>
        <w:t xml:space="preserve">15.650 </w:t>
      </w:r>
      <w:r w:rsidR="007C52C4" w:rsidRPr="00117255">
        <w:rPr>
          <w:lang w:val="es-ES"/>
        </w:rPr>
        <w:t xml:space="preserve">sensores de nivel de consciencia, de saturación regional cerebral de oxígeno en adulto y de </w:t>
      </w:r>
      <w:proofErr w:type="spellStart"/>
      <w:r w:rsidR="007C52C4" w:rsidRPr="00117255">
        <w:rPr>
          <w:lang w:val="es-ES"/>
        </w:rPr>
        <w:t>nocicepción</w:t>
      </w:r>
      <w:proofErr w:type="spellEnd"/>
      <w:r w:rsidR="007C52C4" w:rsidRPr="00117255">
        <w:rPr>
          <w:lang w:val="es-ES"/>
        </w:rPr>
        <w:t xml:space="preserve"> para el Servicio de Anestesiología y Reanimación</w:t>
      </w:r>
      <w:r w:rsidR="00242EA4">
        <w:rPr>
          <w:lang w:val="es-ES"/>
        </w:rPr>
        <w:t xml:space="preserve"> del Hospital San Pedro de Logroño</w:t>
      </w:r>
      <w:r w:rsidR="007C52C4">
        <w:rPr>
          <w:lang w:val="es-ES"/>
        </w:rPr>
        <w:t>. Su finalidad es</w:t>
      </w:r>
      <w:r w:rsidR="007C52C4" w:rsidRPr="00117255">
        <w:rPr>
          <w:lang w:val="es-ES"/>
        </w:rPr>
        <w:t xml:space="preserve"> la monitorización continua y no invasiva del paciente anestesiado </w:t>
      </w:r>
      <w:r w:rsidR="007C52C4">
        <w:rPr>
          <w:lang w:val="es-ES"/>
        </w:rPr>
        <w:t>y así</w:t>
      </w:r>
      <w:r w:rsidR="007C52C4" w:rsidRPr="00117255">
        <w:rPr>
          <w:lang w:val="es-ES"/>
        </w:rPr>
        <w:t xml:space="preserve"> poder desempeñar </w:t>
      </w:r>
      <w:r w:rsidR="007C52C4">
        <w:rPr>
          <w:lang w:val="es-ES"/>
        </w:rPr>
        <w:t xml:space="preserve">la </w:t>
      </w:r>
      <w:r w:rsidR="007C52C4" w:rsidRPr="00117255">
        <w:rPr>
          <w:lang w:val="es-ES"/>
        </w:rPr>
        <w:t>función asistencial con la calidad debida.</w:t>
      </w:r>
      <w:r>
        <w:rPr>
          <w:rFonts w:eastAsia="Times New Roman"/>
          <w:lang w:val="es-ES" w:eastAsia="es-ES"/>
        </w:rPr>
        <w:t xml:space="preserve"> </w:t>
      </w:r>
    </w:p>
    <w:p w14:paraId="436B55FD" w14:textId="07CEAF18" w:rsidR="00A35224" w:rsidRDefault="00A35224" w:rsidP="00512F69">
      <w:pPr>
        <w:pStyle w:val="CuerpodetextoNotadePrensa"/>
        <w:rPr>
          <w:rFonts w:eastAsia="Times New Roman"/>
          <w:lang w:val="es-ES" w:eastAsia="es-ES"/>
        </w:rPr>
      </w:pPr>
    </w:p>
    <w:p w14:paraId="672D0F7F" w14:textId="2B3F1C70" w:rsidR="00A35224" w:rsidRDefault="00A35224" w:rsidP="00512F69">
      <w:pPr>
        <w:pStyle w:val="CuerpodetextoNotadePrensa"/>
        <w:rPr>
          <w:lang w:val="es-ES"/>
        </w:rPr>
      </w:pPr>
      <w:r>
        <w:rPr>
          <w:rFonts w:eastAsia="Times New Roman"/>
          <w:lang w:val="es-ES" w:eastAsia="es-ES"/>
        </w:rPr>
        <w:t xml:space="preserve">En este sentido es preciso subrayar que </w:t>
      </w:r>
      <w:r>
        <w:rPr>
          <w:lang w:val="es-ES"/>
        </w:rPr>
        <w:t>e</w:t>
      </w:r>
      <w:r w:rsidRPr="00A35224">
        <w:rPr>
          <w:lang w:val="es-ES"/>
        </w:rPr>
        <w:t>l Servicio de Anestesiología no realiza ninguna anestesia general sin la aplicación de la tecnología de monitorización del nivel de consciencia</w:t>
      </w:r>
      <w:r w:rsidR="00FB4DA4">
        <w:rPr>
          <w:lang w:val="es-ES"/>
        </w:rPr>
        <w:t>,</w:t>
      </w:r>
      <w:r w:rsidRPr="00A35224">
        <w:rPr>
          <w:lang w:val="es-ES"/>
        </w:rPr>
        <w:t xml:space="preserve"> imprescindible </w:t>
      </w:r>
      <w:r w:rsidR="00FB4DA4">
        <w:rPr>
          <w:lang w:val="es-ES"/>
        </w:rPr>
        <w:t xml:space="preserve">para </w:t>
      </w:r>
      <w:r w:rsidRPr="00A35224">
        <w:rPr>
          <w:lang w:val="es-ES"/>
        </w:rPr>
        <w:t xml:space="preserve">medir el nivel de consciencia de los pacientes </w:t>
      </w:r>
      <w:r w:rsidR="00FB4DA4">
        <w:rPr>
          <w:lang w:val="es-ES"/>
        </w:rPr>
        <w:t>y, de esta forma,</w:t>
      </w:r>
      <w:r w:rsidRPr="00A35224">
        <w:rPr>
          <w:lang w:val="es-ES"/>
        </w:rPr>
        <w:t xml:space="preserve"> evitar </w:t>
      </w:r>
      <w:r w:rsidR="00FB4DA4">
        <w:rPr>
          <w:lang w:val="es-ES"/>
        </w:rPr>
        <w:t xml:space="preserve">la </w:t>
      </w:r>
      <w:proofErr w:type="spellStart"/>
      <w:r w:rsidRPr="00A35224">
        <w:rPr>
          <w:lang w:val="es-ES"/>
        </w:rPr>
        <w:t>sobresedación</w:t>
      </w:r>
      <w:proofErr w:type="spellEnd"/>
      <w:r w:rsidR="00242EA4">
        <w:rPr>
          <w:lang w:val="es-ES"/>
        </w:rPr>
        <w:t xml:space="preserve"> o</w:t>
      </w:r>
      <w:r w:rsidR="00FB4DA4">
        <w:rPr>
          <w:lang w:val="es-ES"/>
        </w:rPr>
        <w:t xml:space="preserve"> la</w:t>
      </w:r>
      <w:r w:rsidR="00242EA4">
        <w:rPr>
          <w:lang w:val="es-ES"/>
        </w:rPr>
        <w:t xml:space="preserve"> </w:t>
      </w:r>
      <w:proofErr w:type="spellStart"/>
      <w:r w:rsidR="00242EA4">
        <w:rPr>
          <w:lang w:val="es-ES"/>
        </w:rPr>
        <w:t>infrasedación</w:t>
      </w:r>
      <w:proofErr w:type="spellEnd"/>
      <w:r w:rsidRPr="00A35224">
        <w:rPr>
          <w:lang w:val="es-ES"/>
        </w:rPr>
        <w:t>. Aparte del ahorro de fármacos que proporciona la utilización de este sistema, lo fundamental es que mejora la práctica clínica de los anestesistas y garantiza la seguridad del paciente</w:t>
      </w:r>
      <w:r w:rsidR="0085777A">
        <w:rPr>
          <w:lang w:val="es-ES"/>
        </w:rPr>
        <w:t>.</w:t>
      </w:r>
      <w:bookmarkStart w:id="2" w:name="_GoBack"/>
      <w:bookmarkEnd w:id="2"/>
    </w:p>
    <w:p w14:paraId="5AEADE83" w14:textId="77777777" w:rsidR="00242EA4" w:rsidRDefault="00242EA4" w:rsidP="00512F69">
      <w:pPr>
        <w:pStyle w:val="CuerpodetextoNotadePrensa"/>
        <w:rPr>
          <w:rFonts w:eastAsia="Times New Roman"/>
          <w:lang w:val="es-ES" w:eastAsia="es-ES"/>
        </w:rPr>
      </w:pPr>
    </w:p>
    <w:p w14:paraId="614D1E34" w14:textId="42CAFE92" w:rsidR="007C52C4" w:rsidRPr="007C52C4" w:rsidRDefault="007C52C4" w:rsidP="00C375C4">
      <w:pPr>
        <w:pStyle w:val="CuerpodetextoNotadePrensa"/>
        <w:rPr>
          <w:lang w:val="es-ES"/>
        </w:rPr>
      </w:pPr>
      <w:r>
        <w:rPr>
          <w:rFonts w:eastAsia="Times New Roman"/>
          <w:lang w:val="es-ES" w:eastAsia="es-ES"/>
        </w:rPr>
        <w:t>El contrato</w:t>
      </w:r>
      <w:r w:rsidR="000D09D5">
        <w:rPr>
          <w:rFonts w:eastAsia="Times New Roman"/>
          <w:lang w:val="es-ES" w:eastAsia="es-ES"/>
        </w:rPr>
        <w:t xml:space="preserve">, que se tramitará por procedimiento negociado sin publicidad, </w:t>
      </w:r>
      <w:r>
        <w:rPr>
          <w:rFonts w:eastAsia="Times New Roman"/>
          <w:lang w:val="es-ES" w:eastAsia="es-ES"/>
        </w:rPr>
        <w:t xml:space="preserve">comenzará a ejecutarse </w:t>
      </w:r>
      <w:r w:rsidR="00117255">
        <w:rPr>
          <w:rFonts w:eastAsia="Times New Roman"/>
          <w:lang w:val="es-ES" w:eastAsia="es-ES"/>
        </w:rPr>
        <w:t xml:space="preserve">el próximo 1 de mayo </w:t>
      </w:r>
      <w:r w:rsidR="000D09D5">
        <w:rPr>
          <w:rFonts w:eastAsia="Times New Roman"/>
          <w:lang w:val="es-ES" w:eastAsia="es-ES"/>
        </w:rPr>
        <w:t>hasta el 31 de diciembre de 2025</w:t>
      </w:r>
      <w:r>
        <w:rPr>
          <w:rFonts w:eastAsia="Times New Roman"/>
          <w:lang w:val="es-ES" w:eastAsia="es-ES"/>
        </w:rPr>
        <w:t xml:space="preserve">, aunque </w:t>
      </w:r>
      <w:r w:rsidRPr="00666DC2">
        <w:rPr>
          <w:rFonts w:eastAsia="Times New Roman"/>
          <w:lang w:val="es-ES" w:eastAsia="es-ES"/>
        </w:rPr>
        <w:t>se</w:t>
      </w:r>
      <w:r w:rsidR="00C757A6" w:rsidRPr="00666DC2">
        <w:rPr>
          <w:lang w:val="es-ES"/>
        </w:rPr>
        <w:t xml:space="preserve"> prevé la posibilidad de prórroga hasta un máximo de </w:t>
      </w:r>
      <w:r w:rsidR="00117255" w:rsidRPr="00666DC2">
        <w:rPr>
          <w:lang w:val="es-ES"/>
        </w:rPr>
        <w:t>60</w:t>
      </w:r>
      <w:r w:rsidR="00C757A6" w:rsidRPr="00666DC2">
        <w:rPr>
          <w:lang w:val="es-ES"/>
        </w:rPr>
        <w:t xml:space="preserve"> meses</w:t>
      </w:r>
      <w:r>
        <w:rPr>
          <w:lang w:val="es-ES"/>
        </w:rPr>
        <w:t>.</w:t>
      </w:r>
      <w:r w:rsidR="00117255">
        <w:rPr>
          <w:lang w:val="es-ES"/>
        </w:rPr>
        <w:t xml:space="preserve"> </w:t>
      </w:r>
      <w:r w:rsidRPr="007C52C4">
        <w:rPr>
          <w:lang w:val="es-ES"/>
        </w:rPr>
        <w:t xml:space="preserve">El presupuesto </w:t>
      </w:r>
      <w:r>
        <w:rPr>
          <w:lang w:val="es-ES"/>
        </w:rPr>
        <w:t xml:space="preserve">para 2024 asciende a </w:t>
      </w:r>
      <w:r w:rsidRPr="007C52C4">
        <w:rPr>
          <w:lang w:val="es-ES"/>
        </w:rPr>
        <w:t>169.642</w:t>
      </w:r>
      <w:r>
        <w:rPr>
          <w:lang w:val="es-ES"/>
        </w:rPr>
        <w:t xml:space="preserve"> euros y a </w:t>
      </w:r>
      <w:r w:rsidRPr="007C52C4">
        <w:rPr>
          <w:lang w:val="es-ES"/>
        </w:rPr>
        <w:t>254.463</w:t>
      </w:r>
      <w:r>
        <w:rPr>
          <w:lang w:val="es-ES"/>
        </w:rPr>
        <w:t xml:space="preserve"> euros para 2025.</w:t>
      </w:r>
    </w:p>
    <w:p w14:paraId="736BD9FA" w14:textId="77777777" w:rsidR="00C375C4" w:rsidRDefault="00C375C4" w:rsidP="00E2235D">
      <w:pPr>
        <w:pStyle w:val="CuerpodetextoNotadePrensa"/>
        <w:rPr>
          <w:lang w:val="es-ES"/>
        </w:rPr>
      </w:pPr>
    </w:p>
    <w:p w14:paraId="27ABD5DC" w14:textId="77777777" w:rsidR="00261510" w:rsidRPr="00E6021F" w:rsidRDefault="00261510" w:rsidP="0047552C">
      <w:pPr>
        <w:pStyle w:val="CuerpodetextoNotadePrensa"/>
        <w:rPr>
          <w:lang w:val="es-ES"/>
        </w:rPr>
      </w:pPr>
    </w:p>
    <w:sectPr w:rsidR="00261510" w:rsidRPr="00E6021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66305"/>
    <w:rsid w:val="000D09D5"/>
    <w:rsid w:val="000F3F3C"/>
    <w:rsid w:val="00100590"/>
    <w:rsid w:val="001037A5"/>
    <w:rsid w:val="00111514"/>
    <w:rsid w:val="00117255"/>
    <w:rsid w:val="001542F7"/>
    <w:rsid w:val="00166C4D"/>
    <w:rsid w:val="0018459D"/>
    <w:rsid w:val="001C2A22"/>
    <w:rsid w:val="001D5774"/>
    <w:rsid w:val="0020207D"/>
    <w:rsid w:val="0021098A"/>
    <w:rsid w:val="00240D3F"/>
    <w:rsid w:val="00242EA4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2B81"/>
    <w:rsid w:val="0034365A"/>
    <w:rsid w:val="00346ABB"/>
    <w:rsid w:val="0035439E"/>
    <w:rsid w:val="0039046B"/>
    <w:rsid w:val="003A3E60"/>
    <w:rsid w:val="003C1605"/>
    <w:rsid w:val="003F2242"/>
    <w:rsid w:val="00417179"/>
    <w:rsid w:val="00435C9E"/>
    <w:rsid w:val="00461780"/>
    <w:rsid w:val="0047552C"/>
    <w:rsid w:val="00477863"/>
    <w:rsid w:val="00495B58"/>
    <w:rsid w:val="00495D1F"/>
    <w:rsid w:val="004D420D"/>
    <w:rsid w:val="004D594F"/>
    <w:rsid w:val="0050187E"/>
    <w:rsid w:val="0050645C"/>
    <w:rsid w:val="00512F69"/>
    <w:rsid w:val="00574433"/>
    <w:rsid w:val="0058176E"/>
    <w:rsid w:val="00596975"/>
    <w:rsid w:val="00597247"/>
    <w:rsid w:val="006563C4"/>
    <w:rsid w:val="006602DA"/>
    <w:rsid w:val="00666DC2"/>
    <w:rsid w:val="00673FFA"/>
    <w:rsid w:val="0069392B"/>
    <w:rsid w:val="006A2069"/>
    <w:rsid w:val="006A7DBC"/>
    <w:rsid w:val="006B0802"/>
    <w:rsid w:val="006F4E9B"/>
    <w:rsid w:val="00706970"/>
    <w:rsid w:val="00716285"/>
    <w:rsid w:val="007921B9"/>
    <w:rsid w:val="007A7E63"/>
    <w:rsid w:val="007B0637"/>
    <w:rsid w:val="007C52C4"/>
    <w:rsid w:val="007C7121"/>
    <w:rsid w:val="007D6FFF"/>
    <w:rsid w:val="007E4491"/>
    <w:rsid w:val="0085777A"/>
    <w:rsid w:val="0087541B"/>
    <w:rsid w:val="00892C54"/>
    <w:rsid w:val="008B05E4"/>
    <w:rsid w:val="008E5448"/>
    <w:rsid w:val="008E7E40"/>
    <w:rsid w:val="00917E39"/>
    <w:rsid w:val="009735EC"/>
    <w:rsid w:val="00977EFE"/>
    <w:rsid w:val="009A6669"/>
    <w:rsid w:val="009E7835"/>
    <w:rsid w:val="00A141BE"/>
    <w:rsid w:val="00A347CA"/>
    <w:rsid w:val="00A35224"/>
    <w:rsid w:val="00A6238F"/>
    <w:rsid w:val="00A756FA"/>
    <w:rsid w:val="00AA0B41"/>
    <w:rsid w:val="00AC6E30"/>
    <w:rsid w:val="00AE1E6B"/>
    <w:rsid w:val="00B93DBC"/>
    <w:rsid w:val="00B97FCD"/>
    <w:rsid w:val="00BA5D06"/>
    <w:rsid w:val="00BE70B2"/>
    <w:rsid w:val="00C05A43"/>
    <w:rsid w:val="00C22F34"/>
    <w:rsid w:val="00C375C4"/>
    <w:rsid w:val="00C648E7"/>
    <w:rsid w:val="00C757A6"/>
    <w:rsid w:val="00C764E9"/>
    <w:rsid w:val="00C83CF8"/>
    <w:rsid w:val="00CC08D8"/>
    <w:rsid w:val="00D017AC"/>
    <w:rsid w:val="00D312AD"/>
    <w:rsid w:val="00D53E08"/>
    <w:rsid w:val="00DD0856"/>
    <w:rsid w:val="00DE0CF2"/>
    <w:rsid w:val="00E2235D"/>
    <w:rsid w:val="00E3229F"/>
    <w:rsid w:val="00E41609"/>
    <w:rsid w:val="00E4298C"/>
    <w:rsid w:val="00E517E4"/>
    <w:rsid w:val="00E6021F"/>
    <w:rsid w:val="00E63FE9"/>
    <w:rsid w:val="00ED47D0"/>
    <w:rsid w:val="00F671DE"/>
    <w:rsid w:val="00F8126E"/>
    <w:rsid w:val="00F92DFC"/>
    <w:rsid w:val="00FA4DD6"/>
    <w:rsid w:val="00FB4DA4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4D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30</cp:revision>
  <cp:lastPrinted>2024-04-01T09:21:00Z</cp:lastPrinted>
  <dcterms:created xsi:type="dcterms:W3CDTF">2024-03-27T12:08:00Z</dcterms:created>
  <dcterms:modified xsi:type="dcterms:W3CDTF">2024-04-02T08:41:00Z</dcterms:modified>
</cp:coreProperties>
</file>