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0B62F898" w:rsidR="00E517E4" w:rsidRPr="00A756FA" w:rsidRDefault="00061701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0C154F">
        <w:t>27</w:t>
      </w:r>
      <w:r w:rsidR="00E517E4" w:rsidRPr="00A756FA">
        <w:t>/</w:t>
      </w:r>
      <w:r w:rsidR="000C154F">
        <w:t>02</w:t>
      </w:r>
      <w:r w:rsidR="00E517E4" w:rsidRPr="00A756FA">
        <w:t>/2</w:t>
      </w:r>
      <w:r>
        <w:t>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37D7E3AC" w14:textId="7DF882AA" w:rsidR="00261510" w:rsidRPr="004D594F" w:rsidRDefault="00FA565A" w:rsidP="0047552C">
      <w:pPr>
        <w:pStyle w:val="TtuloNotadePrensa"/>
        <w:jc w:val="both"/>
      </w:pPr>
      <w:bookmarkStart w:id="1" w:name="_Hlk139456888"/>
      <w:bookmarkEnd w:id="0"/>
      <w:r>
        <w:t>El Plan de Contratación Pública</w:t>
      </w:r>
      <w:r w:rsidR="00B75318">
        <w:t xml:space="preserve"> </w:t>
      </w:r>
      <w:r>
        <w:t xml:space="preserve">incluye 593 contratos por </w:t>
      </w:r>
      <w:r w:rsidR="00B75318">
        <w:t>562 millones, el 66% concentrado en las áreas que sostienen el estado de bienestar</w:t>
      </w:r>
    </w:p>
    <w:p w14:paraId="4AF128B9" w14:textId="77777777" w:rsidR="00261510" w:rsidRPr="004D594F" w:rsidRDefault="00261510" w:rsidP="0047552C">
      <w:pPr>
        <w:pStyle w:val="TtuloNotadePrensa"/>
        <w:jc w:val="both"/>
      </w:pPr>
    </w:p>
    <w:bookmarkEnd w:id="1"/>
    <w:p w14:paraId="25C64E58" w14:textId="2D0E9185" w:rsidR="0020207D" w:rsidRPr="000C154F" w:rsidRDefault="00F61262" w:rsidP="0047552C">
      <w:pPr>
        <w:pStyle w:val="CuerpodetextoNotadePrensa"/>
        <w:rPr>
          <w:b/>
          <w:lang w:val="es-ES"/>
        </w:rPr>
      </w:pPr>
      <w:r>
        <w:rPr>
          <w:b/>
          <w:lang w:val="es-ES"/>
        </w:rPr>
        <w:t xml:space="preserve">Esta planificación refuerza la transparencia de la gestión de los contratos públicos y facilita a las empresas, especialmente </w:t>
      </w:r>
      <w:r w:rsidR="00D83B75">
        <w:rPr>
          <w:b/>
          <w:lang w:val="es-ES"/>
        </w:rPr>
        <w:t>a</w:t>
      </w:r>
      <w:r>
        <w:rPr>
          <w:b/>
          <w:lang w:val="es-ES"/>
        </w:rPr>
        <w:t xml:space="preserve"> las pymes, la información necesaria de las licitaciones a las que pueden optar</w:t>
      </w:r>
    </w:p>
    <w:p w14:paraId="0DC598FC" w14:textId="54E12D7D" w:rsidR="0020207D" w:rsidRDefault="0020207D" w:rsidP="0047552C">
      <w:pPr>
        <w:pStyle w:val="CuerpodetextoNotadePrensa"/>
        <w:rPr>
          <w:b/>
          <w:lang w:val="es-ES"/>
        </w:rPr>
      </w:pPr>
    </w:p>
    <w:p w14:paraId="5D9AF870" w14:textId="77777777" w:rsidR="00F61262" w:rsidRPr="000C154F" w:rsidRDefault="00F61262" w:rsidP="0047552C">
      <w:pPr>
        <w:pStyle w:val="CuerpodetextoNotadePrensa"/>
        <w:rPr>
          <w:lang w:val="es-ES"/>
        </w:rPr>
      </w:pPr>
    </w:p>
    <w:p w14:paraId="1F23D9D7" w14:textId="1BFE1FE7" w:rsidR="008A2965" w:rsidRDefault="00433216" w:rsidP="0047552C">
      <w:pPr>
        <w:pStyle w:val="CuerpodetextoNotadePrensa"/>
        <w:rPr>
          <w:lang w:val="es-ES"/>
        </w:rPr>
      </w:pPr>
      <w:r>
        <w:rPr>
          <w:lang w:val="es-ES"/>
        </w:rPr>
        <w:t xml:space="preserve">El Consejo de Gobierno ha aprobado </w:t>
      </w:r>
      <w:r w:rsidR="003B2D80">
        <w:rPr>
          <w:lang w:val="es-ES"/>
        </w:rPr>
        <w:t xml:space="preserve">en su reunión de hoy, 27 de febrero, </w:t>
      </w:r>
      <w:bookmarkStart w:id="2" w:name="_GoBack"/>
      <w:bookmarkEnd w:id="2"/>
      <w:r>
        <w:rPr>
          <w:lang w:val="es-ES"/>
        </w:rPr>
        <w:t>el Plan Anual de Contratación del Sector Público de la Comunidad Autónoma de la Rioja 2024, que incluye 593 contratos por un valor estimado de 562.020.360 euros</w:t>
      </w:r>
      <w:r w:rsidR="009267DA">
        <w:rPr>
          <w:lang w:val="es-ES"/>
        </w:rPr>
        <w:t xml:space="preserve">, el 66% concentrado en las áreas que sostienen el estado de bienestar, con casi 367 millones. </w:t>
      </w:r>
    </w:p>
    <w:p w14:paraId="77DBD859" w14:textId="77777777" w:rsidR="008A2965" w:rsidRDefault="008A2965" w:rsidP="0047552C">
      <w:pPr>
        <w:pStyle w:val="CuerpodetextoNotadePrensa"/>
        <w:rPr>
          <w:lang w:val="es-ES"/>
        </w:rPr>
      </w:pPr>
    </w:p>
    <w:p w14:paraId="708ABEC1" w14:textId="32C516AE" w:rsidR="0020207D" w:rsidRDefault="008A2965" w:rsidP="0047552C">
      <w:pPr>
        <w:pStyle w:val="CuerpodetextoNotadePrensa"/>
        <w:rPr>
          <w:lang w:val="es-ES"/>
        </w:rPr>
      </w:pPr>
      <w:r>
        <w:rPr>
          <w:lang w:val="es-ES"/>
        </w:rPr>
        <w:t>Los principales</w:t>
      </w:r>
      <w:r w:rsidR="00433216">
        <w:rPr>
          <w:lang w:val="es-ES"/>
        </w:rPr>
        <w:t xml:space="preserve"> objetivo</w:t>
      </w:r>
      <w:r>
        <w:rPr>
          <w:lang w:val="es-ES"/>
        </w:rPr>
        <w:t>s</w:t>
      </w:r>
      <w:r w:rsidR="00433216">
        <w:rPr>
          <w:lang w:val="es-ES"/>
        </w:rPr>
        <w:t xml:space="preserve"> </w:t>
      </w:r>
      <w:r w:rsidR="009C1B08">
        <w:rPr>
          <w:lang w:val="es-ES"/>
        </w:rPr>
        <w:t xml:space="preserve">de </w:t>
      </w:r>
      <w:r>
        <w:rPr>
          <w:lang w:val="es-ES"/>
        </w:rPr>
        <w:t>esta</w:t>
      </w:r>
      <w:r w:rsidR="009C1B08">
        <w:rPr>
          <w:lang w:val="es-ES"/>
        </w:rPr>
        <w:t xml:space="preserve"> planificación </w:t>
      </w:r>
      <w:r>
        <w:rPr>
          <w:lang w:val="es-ES"/>
        </w:rPr>
        <w:t>son, por un lado,</w:t>
      </w:r>
      <w:r w:rsidR="009626CE">
        <w:rPr>
          <w:lang w:val="es-ES"/>
        </w:rPr>
        <w:t xml:space="preserve"> </w:t>
      </w:r>
      <w:r w:rsidR="00433216">
        <w:rPr>
          <w:lang w:val="es-ES"/>
        </w:rPr>
        <w:t>reforzar la transparencia de las contrataciones que este ejercicio realizará la Comunidad</w:t>
      </w:r>
      <w:r>
        <w:rPr>
          <w:lang w:val="es-ES"/>
        </w:rPr>
        <w:t xml:space="preserve"> y favorecer </w:t>
      </w:r>
      <w:r w:rsidRPr="008A2965">
        <w:rPr>
          <w:lang w:val="es-ES"/>
        </w:rPr>
        <w:t xml:space="preserve">el acceso de </w:t>
      </w:r>
      <w:r w:rsidR="00F61262">
        <w:rPr>
          <w:lang w:val="es-ES"/>
        </w:rPr>
        <w:t>las empresas licitadoras</w:t>
      </w:r>
      <w:r w:rsidRPr="008A2965">
        <w:rPr>
          <w:lang w:val="es-ES"/>
        </w:rPr>
        <w:t>, especialmente de las pymes, que podrán contar con información necesaria para evaluar las contrataciones a las que pueden optar</w:t>
      </w:r>
      <w:r>
        <w:rPr>
          <w:lang w:val="es-ES"/>
        </w:rPr>
        <w:t>. Y, por otro,</w:t>
      </w:r>
      <w:r w:rsidR="00433216">
        <w:rPr>
          <w:lang w:val="es-ES"/>
        </w:rPr>
        <w:t xml:space="preserve"> </w:t>
      </w:r>
      <w:r w:rsidR="00407F27">
        <w:rPr>
          <w:lang w:val="es-ES"/>
        </w:rPr>
        <w:t>contribuir</w:t>
      </w:r>
      <w:r w:rsidR="00407F27" w:rsidRPr="00407F27">
        <w:rPr>
          <w:lang w:val="es-ES"/>
        </w:rPr>
        <w:t xml:space="preserve"> de forma eficaz a la consecución de</w:t>
      </w:r>
      <w:r>
        <w:rPr>
          <w:lang w:val="es-ES"/>
        </w:rPr>
        <w:t xml:space="preserve"> los objetivos de la acción de G</w:t>
      </w:r>
      <w:r w:rsidR="00407F27" w:rsidRPr="00407F27">
        <w:rPr>
          <w:lang w:val="es-ES"/>
        </w:rPr>
        <w:t>obierno, al cumplimiento de las finalidades de los fondos europeos asignados, y, en definitiva, a una mejor gestió</w:t>
      </w:r>
      <w:r w:rsidR="009267DA">
        <w:rPr>
          <w:lang w:val="es-ES"/>
        </w:rPr>
        <w:t>n pública.</w:t>
      </w:r>
    </w:p>
    <w:p w14:paraId="6F4226C2" w14:textId="57D5D06B" w:rsidR="008A2965" w:rsidRDefault="008A2965" w:rsidP="0047552C">
      <w:pPr>
        <w:pStyle w:val="CuerpodetextoNotadePrensa"/>
        <w:rPr>
          <w:lang w:val="es-ES"/>
        </w:rPr>
      </w:pPr>
    </w:p>
    <w:p w14:paraId="41CA68F5" w14:textId="4E201852" w:rsidR="008A2965" w:rsidRDefault="008A2965" w:rsidP="008A2965">
      <w:pPr>
        <w:pStyle w:val="CuerpodetextoNotadePrensa"/>
        <w:rPr>
          <w:lang w:val="es-ES"/>
        </w:rPr>
      </w:pPr>
      <w:r>
        <w:rPr>
          <w:lang w:val="es-ES"/>
        </w:rPr>
        <w:t xml:space="preserve">Esta programación sirve, asimismo, </w:t>
      </w:r>
      <w:r w:rsidRPr="00244FC3">
        <w:rPr>
          <w:lang w:val="es-ES"/>
        </w:rPr>
        <w:t xml:space="preserve">como instrumento para el seguimiento de cada uno </w:t>
      </w:r>
      <w:r>
        <w:rPr>
          <w:lang w:val="es-ES"/>
        </w:rPr>
        <w:t>de los contratos</w:t>
      </w:r>
      <w:r w:rsidRPr="00244FC3">
        <w:rPr>
          <w:lang w:val="es-ES"/>
        </w:rPr>
        <w:t xml:space="preserve">, </w:t>
      </w:r>
      <w:r>
        <w:rPr>
          <w:lang w:val="es-ES"/>
        </w:rPr>
        <w:t xml:space="preserve">lo </w:t>
      </w:r>
      <w:r w:rsidRPr="00244FC3">
        <w:rPr>
          <w:lang w:val="es-ES"/>
        </w:rPr>
        <w:t>que se plasma en la elaboración de un informe anual que permit</w:t>
      </w:r>
      <w:r>
        <w:rPr>
          <w:lang w:val="es-ES"/>
        </w:rPr>
        <w:t>e</w:t>
      </w:r>
      <w:r w:rsidRPr="00244FC3">
        <w:rPr>
          <w:lang w:val="es-ES"/>
        </w:rPr>
        <w:t xml:space="preserve"> </w:t>
      </w:r>
      <w:r w:rsidR="00396648">
        <w:rPr>
          <w:lang w:val="es-ES"/>
        </w:rPr>
        <w:t>tasa</w:t>
      </w:r>
      <w:r w:rsidRPr="00244FC3">
        <w:rPr>
          <w:lang w:val="es-ES"/>
        </w:rPr>
        <w:t>r el cumplimiento del plan remitido en el ejercicio anterior. Su finalidad es p</w:t>
      </w:r>
      <w:r>
        <w:rPr>
          <w:lang w:val="es-ES"/>
        </w:rPr>
        <w:t>osibilitar</w:t>
      </w:r>
      <w:r w:rsidRPr="00244FC3">
        <w:rPr>
          <w:lang w:val="es-ES"/>
        </w:rPr>
        <w:t xml:space="preserve"> la evaluación de los resultados obtenidos en todos los aspectos señalados</w:t>
      </w:r>
      <w:r>
        <w:rPr>
          <w:lang w:val="es-ES"/>
        </w:rPr>
        <w:t xml:space="preserve"> </w:t>
      </w:r>
      <w:r w:rsidRPr="00244FC3">
        <w:rPr>
          <w:lang w:val="es-ES"/>
        </w:rPr>
        <w:t xml:space="preserve">al acabar </w:t>
      </w:r>
      <w:r>
        <w:rPr>
          <w:lang w:val="es-ES"/>
        </w:rPr>
        <w:t>cada año</w:t>
      </w:r>
      <w:r w:rsidRPr="00244FC3">
        <w:rPr>
          <w:lang w:val="es-ES"/>
        </w:rPr>
        <w:t>, como una herramienta de racionalización en las políticas de gasto.</w:t>
      </w:r>
    </w:p>
    <w:p w14:paraId="40A98119" w14:textId="77777777" w:rsidR="008A2965" w:rsidRDefault="008A2965" w:rsidP="0047552C">
      <w:pPr>
        <w:pStyle w:val="CuerpodetextoNotadePrensa"/>
        <w:rPr>
          <w:lang w:val="es-ES"/>
        </w:rPr>
      </w:pPr>
    </w:p>
    <w:p w14:paraId="6D89B59B" w14:textId="0D2966C8" w:rsidR="008A2965" w:rsidRDefault="00244FC3" w:rsidP="0047552C">
      <w:pPr>
        <w:pStyle w:val="CuerpodetextoNotadePrensa"/>
        <w:rPr>
          <w:lang w:val="es-ES"/>
        </w:rPr>
      </w:pPr>
      <w:r>
        <w:rPr>
          <w:lang w:val="es-ES"/>
        </w:rPr>
        <w:t>El</w:t>
      </w:r>
      <w:r w:rsidRPr="00244FC3">
        <w:rPr>
          <w:lang w:val="es-ES"/>
        </w:rPr>
        <w:t xml:space="preserve"> Plan de Contratación Pública </w:t>
      </w:r>
      <w:r w:rsidR="008A2965">
        <w:rPr>
          <w:lang w:val="es-ES"/>
        </w:rPr>
        <w:t xml:space="preserve">2024 </w:t>
      </w:r>
      <w:r>
        <w:rPr>
          <w:lang w:val="es-ES"/>
        </w:rPr>
        <w:t>recoge</w:t>
      </w:r>
      <w:r w:rsidRPr="00244FC3">
        <w:rPr>
          <w:lang w:val="es-ES"/>
        </w:rPr>
        <w:t xml:space="preserve"> los contratos que los órganos del sector público de</w:t>
      </w:r>
      <w:r>
        <w:rPr>
          <w:lang w:val="es-ES"/>
        </w:rPr>
        <w:t xml:space="preserve"> la Comunidad </w:t>
      </w:r>
      <w:r w:rsidRPr="00244FC3">
        <w:rPr>
          <w:lang w:val="es-ES"/>
        </w:rPr>
        <w:t>tienen previsto licitar a lo largo del ejercicio</w:t>
      </w:r>
      <w:r w:rsidR="008A2965">
        <w:rPr>
          <w:lang w:val="es-ES"/>
        </w:rPr>
        <w:t xml:space="preserve"> actual</w:t>
      </w:r>
      <w:r>
        <w:rPr>
          <w:lang w:val="es-ES"/>
        </w:rPr>
        <w:t xml:space="preserve">, entre los que se incluyen, </w:t>
      </w:r>
      <w:r w:rsidRPr="00244FC3">
        <w:rPr>
          <w:lang w:val="es-ES"/>
        </w:rPr>
        <w:t xml:space="preserve">además, los </w:t>
      </w:r>
      <w:r>
        <w:rPr>
          <w:lang w:val="es-ES"/>
        </w:rPr>
        <w:t>a</w:t>
      </w:r>
      <w:r w:rsidRPr="00244FC3">
        <w:rPr>
          <w:lang w:val="es-ES"/>
        </w:rPr>
        <w:t xml:space="preserve">cuerdos </w:t>
      </w:r>
      <w:r>
        <w:rPr>
          <w:lang w:val="es-ES"/>
        </w:rPr>
        <w:t>m</w:t>
      </w:r>
      <w:r w:rsidRPr="00244FC3">
        <w:rPr>
          <w:lang w:val="es-ES"/>
        </w:rPr>
        <w:t xml:space="preserve">arco que centralizan la contratación de servicios y suministros de uso común en el </w:t>
      </w:r>
      <w:r>
        <w:rPr>
          <w:lang w:val="es-ES"/>
        </w:rPr>
        <w:t>s</w:t>
      </w:r>
      <w:r w:rsidRPr="00244FC3">
        <w:rPr>
          <w:lang w:val="es-ES"/>
        </w:rPr>
        <w:t xml:space="preserve">ector </w:t>
      </w:r>
      <w:r>
        <w:rPr>
          <w:lang w:val="es-ES"/>
        </w:rPr>
        <w:t>p</w:t>
      </w:r>
      <w:r w:rsidRPr="00244FC3">
        <w:rPr>
          <w:lang w:val="es-ES"/>
        </w:rPr>
        <w:t xml:space="preserve">úblico </w:t>
      </w:r>
      <w:r>
        <w:rPr>
          <w:lang w:val="es-ES"/>
        </w:rPr>
        <w:t>a</w:t>
      </w:r>
      <w:r w:rsidRPr="00244FC3">
        <w:rPr>
          <w:lang w:val="es-ES"/>
        </w:rPr>
        <w:t>utonómico</w:t>
      </w:r>
      <w:r w:rsidR="009C1B08">
        <w:rPr>
          <w:lang w:val="es-ES"/>
        </w:rPr>
        <w:t>, excluidos</w:t>
      </w:r>
      <w:r w:rsidRPr="00244FC3">
        <w:rPr>
          <w:lang w:val="es-ES"/>
        </w:rPr>
        <w:t xml:space="preserve"> los contratos </w:t>
      </w:r>
      <w:r>
        <w:rPr>
          <w:lang w:val="es-ES"/>
        </w:rPr>
        <w:t>menores derivados de ellos</w:t>
      </w:r>
      <w:r w:rsidRPr="00244FC3">
        <w:rPr>
          <w:lang w:val="es-ES"/>
        </w:rPr>
        <w:t xml:space="preserve">. </w:t>
      </w:r>
    </w:p>
    <w:p w14:paraId="0D44122C" w14:textId="77777777" w:rsidR="008A2965" w:rsidRDefault="008A2965" w:rsidP="0047552C">
      <w:pPr>
        <w:pStyle w:val="CuerpodetextoNotadePrensa"/>
        <w:rPr>
          <w:lang w:val="es-ES"/>
        </w:rPr>
      </w:pPr>
    </w:p>
    <w:p w14:paraId="7C5A6470" w14:textId="77777777" w:rsidR="008A2965" w:rsidRDefault="008A2965" w:rsidP="005D2A88">
      <w:pPr>
        <w:pStyle w:val="CuerpodetextoNotadePrensa"/>
        <w:rPr>
          <w:color w:val="202122"/>
          <w:shd w:val="clear" w:color="auto" w:fill="FFFFFF"/>
          <w:lang w:val="es-ES"/>
        </w:rPr>
      </w:pPr>
      <w:r>
        <w:rPr>
          <w:lang w:val="es-ES"/>
        </w:rPr>
        <w:t>U</w:t>
      </w:r>
      <w:r w:rsidR="00731AD2" w:rsidRPr="00731AD2">
        <w:rPr>
          <w:lang w:val="es-ES"/>
        </w:rPr>
        <w:t xml:space="preserve">no de cada tres contratos previstos en este Plan (28%) corresponde a la Consejería de Salud y Servicios Sociales, es decir, el área de gestión autonómica que </w:t>
      </w:r>
      <w:r w:rsidR="00CA7083">
        <w:rPr>
          <w:color w:val="202122"/>
          <w:shd w:val="clear" w:color="auto" w:fill="FFFFFF"/>
          <w:lang w:val="es-ES"/>
        </w:rPr>
        <w:t>garantiza el</w:t>
      </w:r>
      <w:r w:rsidR="00731AD2">
        <w:rPr>
          <w:color w:val="202122"/>
          <w:shd w:val="clear" w:color="auto" w:fill="FFFFFF"/>
          <w:lang w:val="es-ES"/>
        </w:rPr>
        <w:t xml:space="preserve"> </w:t>
      </w:r>
      <w:r w:rsidR="00731AD2" w:rsidRPr="00731AD2">
        <w:rPr>
          <w:color w:val="202122"/>
          <w:shd w:val="clear" w:color="auto" w:fill="FFFFFF"/>
          <w:lang w:val="es-ES"/>
        </w:rPr>
        <w:t>cumplimiento de los </w:t>
      </w:r>
      <w:hyperlink r:id="rId7" w:tooltip="Derechos económicos, sociales y culturales" w:history="1">
        <w:r w:rsidR="00731AD2" w:rsidRPr="00731AD2">
          <w:rPr>
            <w:rStyle w:val="Hipervnculo"/>
            <w:color w:val="auto"/>
            <w:u w:val="none"/>
            <w:shd w:val="clear" w:color="auto" w:fill="FFFFFF"/>
            <w:lang w:val="es-ES"/>
          </w:rPr>
          <w:t>derechos sociales</w:t>
        </w:r>
      </w:hyperlink>
      <w:r w:rsidR="00731AD2" w:rsidRPr="00731AD2">
        <w:rPr>
          <w:color w:val="auto"/>
          <w:shd w:val="clear" w:color="auto" w:fill="FFFFFF"/>
          <w:lang w:val="es-ES"/>
        </w:rPr>
        <w:t> </w:t>
      </w:r>
      <w:r w:rsidR="00CA7083">
        <w:rPr>
          <w:color w:val="auto"/>
          <w:shd w:val="clear" w:color="auto" w:fill="FFFFFF"/>
          <w:lang w:val="es-ES"/>
        </w:rPr>
        <w:t>d</w:t>
      </w:r>
      <w:r w:rsidR="00CA7083">
        <w:rPr>
          <w:color w:val="202122"/>
          <w:shd w:val="clear" w:color="auto" w:fill="FFFFFF"/>
          <w:lang w:val="es-ES"/>
        </w:rPr>
        <w:t>e</w:t>
      </w:r>
      <w:r w:rsidR="00731AD2" w:rsidRPr="00731AD2">
        <w:rPr>
          <w:color w:val="202122"/>
          <w:shd w:val="clear" w:color="auto" w:fill="FFFFFF"/>
          <w:lang w:val="es-ES"/>
        </w:rPr>
        <w:t xml:space="preserve"> l</w:t>
      </w:r>
      <w:r w:rsidR="006027E6">
        <w:rPr>
          <w:color w:val="202122"/>
          <w:shd w:val="clear" w:color="auto" w:fill="FFFFFF"/>
          <w:lang w:val="es-ES"/>
        </w:rPr>
        <w:t xml:space="preserve">os </w:t>
      </w:r>
      <w:r w:rsidR="00CA7083">
        <w:rPr>
          <w:color w:val="202122"/>
          <w:shd w:val="clear" w:color="auto" w:fill="FFFFFF"/>
          <w:lang w:val="es-ES"/>
        </w:rPr>
        <w:t>ciudadanos riojanos. No obstante, esta ratio se eleva hasta el 66% si se atiende al valor estimado de contratación, con casi 367 millones de euros.</w:t>
      </w:r>
      <w:r w:rsidR="007F03E9">
        <w:rPr>
          <w:color w:val="202122"/>
          <w:shd w:val="clear" w:color="auto" w:fill="FFFFFF"/>
          <w:lang w:val="es-ES"/>
        </w:rPr>
        <w:t xml:space="preserve"> </w:t>
      </w:r>
    </w:p>
    <w:p w14:paraId="75A01ECB" w14:textId="112C2FCA" w:rsidR="008A2965" w:rsidRDefault="00E17156" w:rsidP="005D2A88">
      <w:pPr>
        <w:pStyle w:val="CuerpodetextoNotadePrensa"/>
        <w:rPr>
          <w:lang w:val="es-ES"/>
        </w:rPr>
      </w:pPr>
      <w:r>
        <w:rPr>
          <w:lang w:val="es-ES"/>
        </w:rPr>
        <w:lastRenderedPageBreak/>
        <w:t>P</w:t>
      </w:r>
      <w:r w:rsidR="005D2A88" w:rsidRPr="005D2A88">
        <w:rPr>
          <w:lang w:val="es-ES"/>
        </w:rPr>
        <w:t>or tipo</w:t>
      </w:r>
      <w:r>
        <w:rPr>
          <w:lang w:val="es-ES"/>
        </w:rPr>
        <w:t>s</w:t>
      </w:r>
      <w:r w:rsidR="005D2A88" w:rsidRPr="005D2A88">
        <w:rPr>
          <w:lang w:val="es-ES"/>
        </w:rPr>
        <w:t xml:space="preserve"> de contrato, más de la mitad</w:t>
      </w:r>
      <w:r w:rsidR="00DA3494">
        <w:rPr>
          <w:lang w:val="es-ES"/>
        </w:rPr>
        <w:t xml:space="preserve"> (53%),</w:t>
      </w:r>
      <w:r w:rsidR="005D2A88" w:rsidRPr="005D2A88">
        <w:rPr>
          <w:lang w:val="es-ES"/>
        </w:rPr>
        <w:t xml:space="preserve"> </w:t>
      </w:r>
      <w:r w:rsidR="00DA3494">
        <w:rPr>
          <w:lang w:val="es-ES"/>
        </w:rPr>
        <w:t>312</w:t>
      </w:r>
      <w:r w:rsidR="005D2A88" w:rsidRPr="005D2A88">
        <w:rPr>
          <w:lang w:val="es-ES"/>
        </w:rPr>
        <w:t xml:space="preserve"> contratos</w:t>
      </w:r>
      <w:r w:rsidR="00DA3494">
        <w:rPr>
          <w:lang w:val="es-ES"/>
        </w:rPr>
        <w:t xml:space="preserve"> en términos absolutos</w:t>
      </w:r>
      <w:r w:rsidR="005D2A88" w:rsidRPr="005D2A88">
        <w:rPr>
          <w:lang w:val="es-ES"/>
        </w:rPr>
        <w:t>, son de servicios; el 2</w:t>
      </w:r>
      <w:r w:rsidR="00DA3494">
        <w:rPr>
          <w:lang w:val="es-ES"/>
        </w:rPr>
        <w:t xml:space="preserve">8% </w:t>
      </w:r>
      <w:r w:rsidR="005D2A88" w:rsidRPr="005D2A88">
        <w:rPr>
          <w:lang w:val="es-ES"/>
        </w:rPr>
        <w:t>(</w:t>
      </w:r>
      <w:r w:rsidR="00396648">
        <w:rPr>
          <w:lang w:val="es-ES"/>
        </w:rPr>
        <w:t>16</w:t>
      </w:r>
      <w:r w:rsidR="005D2A88" w:rsidRPr="005D2A88">
        <w:rPr>
          <w:lang w:val="es-ES"/>
        </w:rPr>
        <w:t>8)</w:t>
      </w:r>
      <w:r>
        <w:rPr>
          <w:lang w:val="es-ES"/>
        </w:rPr>
        <w:t xml:space="preserve">, </w:t>
      </w:r>
      <w:r w:rsidR="005D2A88" w:rsidRPr="005D2A88">
        <w:rPr>
          <w:lang w:val="es-ES"/>
        </w:rPr>
        <w:t xml:space="preserve">de suministros; el </w:t>
      </w:r>
      <w:r>
        <w:rPr>
          <w:lang w:val="es-ES"/>
        </w:rPr>
        <w:t>18%</w:t>
      </w:r>
      <w:r w:rsidR="005D2A88" w:rsidRPr="005D2A88">
        <w:rPr>
          <w:lang w:val="es-ES"/>
        </w:rPr>
        <w:t xml:space="preserve"> (1</w:t>
      </w:r>
      <w:r>
        <w:rPr>
          <w:lang w:val="es-ES"/>
        </w:rPr>
        <w:t>0</w:t>
      </w:r>
      <w:r w:rsidR="005D2A88" w:rsidRPr="005D2A88">
        <w:rPr>
          <w:lang w:val="es-ES"/>
        </w:rPr>
        <w:t>6), de obras</w:t>
      </w:r>
      <w:r>
        <w:rPr>
          <w:lang w:val="es-ES"/>
        </w:rPr>
        <w:t>,</w:t>
      </w:r>
      <w:r w:rsidR="005D2A88" w:rsidRPr="005D2A88">
        <w:rPr>
          <w:lang w:val="es-ES"/>
        </w:rPr>
        <w:t xml:space="preserve"> y el </w:t>
      </w:r>
      <w:r>
        <w:rPr>
          <w:lang w:val="es-ES"/>
        </w:rPr>
        <w:t>1%</w:t>
      </w:r>
      <w:r w:rsidR="005D2A88" w:rsidRPr="005D2A88">
        <w:rPr>
          <w:lang w:val="es-ES"/>
        </w:rPr>
        <w:t xml:space="preserve"> (</w:t>
      </w:r>
      <w:r>
        <w:rPr>
          <w:lang w:val="es-ES"/>
        </w:rPr>
        <w:t>4</w:t>
      </w:r>
      <w:r w:rsidR="005D2A88" w:rsidRPr="005D2A88">
        <w:rPr>
          <w:lang w:val="es-ES"/>
        </w:rPr>
        <w:t xml:space="preserve">), </w:t>
      </w:r>
      <w:r>
        <w:rPr>
          <w:lang w:val="es-ES"/>
        </w:rPr>
        <w:t xml:space="preserve">de </w:t>
      </w:r>
      <w:r w:rsidR="005D2A88" w:rsidRPr="005D2A88">
        <w:rPr>
          <w:lang w:val="es-ES"/>
        </w:rPr>
        <w:t>concesiones de servicios.</w:t>
      </w:r>
      <w:r>
        <w:rPr>
          <w:lang w:val="es-ES"/>
        </w:rPr>
        <w:t xml:space="preserve"> </w:t>
      </w:r>
    </w:p>
    <w:p w14:paraId="5CA5C0D2" w14:textId="77777777" w:rsidR="008A2965" w:rsidRDefault="008A2965" w:rsidP="005D2A88">
      <w:pPr>
        <w:pStyle w:val="CuerpodetextoNotadePrensa"/>
        <w:rPr>
          <w:lang w:val="es-ES"/>
        </w:rPr>
      </w:pPr>
    </w:p>
    <w:p w14:paraId="16A8C3C5" w14:textId="250CCFD1" w:rsidR="00E5085F" w:rsidRPr="008A2965" w:rsidRDefault="008A2965" w:rsidP="005D2A88">
      <w:pPr>
        <w:pStyle w:val="CuerpodetextoNotadePrensa"/>
        <w:rPr>
          <w:color w:val="202122"/>
          <w:shd w:val="clear" w:color="auto" w:fill="FFFFFF"/>
          <w:lang w:val="es-ES"/>
        </w:rPr>
      </w:pPr>
      <w:r>
        <w:rPr>
          <w:lang w:val="es-ES"/>
        </w:rPr>
        <w:t>Por</w:t>
      </w:r>
      <w:r w:rsidR="00E17156">
        <w:rPr>
          <w:lang w:val="es-ES"/>
        </w:rPr>
        <w:t xml:space="preserve"> importes, el 66% </w:t>
      </w:r>
      <w:r w:rsidR="00E17156" w:rsidRPr="005D2A88">
        <w:rPr>
          <w:lang w:val="es-ES"/>
        </w:rPr>
        <w:t>(</w:t>
      </w:r>
      <w:r w:rsidR="00E17156">
        <w:rPr>
          <w:lang w:val="es-ES"/>
        </w:rPr>
        <w:t>368,4 millones de euros</w:t>
      </w:r>
      <w:r w:rsidR="00E17156" w:rsidRPr="005D2A88">
        <w:rPr>
          <w:lang w:val="es-ES"/>
        </w:rPr>
        <w:t>)</w:t>
      </w:r>
      <w:r w:rsidR="00E17156">
        <w:rPr>
          <w:lang w:val="es-ES"/>
        </w:rPr>
        <w:t xml:space="preserve"> corresponde a servicios; </w:t>
      </w:r>
      <w:r w:rsidR="00E17156" w:rsidRPr="005D2A88">
        <w:rPr>
          <w:lang w:val="es-ES"/>
        </w:rPr>
        <w:t xml:space="preserve">el </w:t>
      </w:r>
      <w:r w:rsidR="00E17156">
        <w:rPr>
          <w:lang w:val="es-ES"/>
        </w:rPr>
        <w:t>1</w:t>
      </w:r>
      <w:r w:rsidR="00D0055D">
        <w:rPr>
          <w:lang w:val="es-ES"/>
        </w:rPr>
        <w:t>6</w:t>
      </w:r>
      <w:r w:rsidR="00E17156">
        <w:rPr>
          <w:lang w:val="es-ES"/>
        </w:rPr>
        <w:t>%</w:t>
      </w:r>
      <w:r w:rsidR="00E17156" w:rsidRPr="005D2A88">
        <w:rPr>
          <w:lang w:val="es-ES"/>
        </w:rPr>
        <w:t xml:space="preserve"> (</w:t>
      </w:r>
      <w:r w:rsidR="00D0055D">
        <w:rPr>
          <w:lang w:val="es-ES"/>
        </w:rPr>
        <w:t>90,4 millones</w:t>
      </w:r>
      <w:r w:rsidR="00E17156" w:rsidRPr="005D2A88">
        <w:rPr>
          <w:lang w:val="es-ES"/>
        </w:rPr>
        <w:t>)</w:t>
      </w:r>
      <w:r w:rsidR="00D0055D">
        <w:rPr>
          <w:lang w:val="es-ES"/>
        </w:rPr>
        <w:t xml:space="preserve"> a</w:t>
      </w:r>
      <w:r w:rsidR="00E17156" w:rsidRPr="005D2A88">
        <w:rPr>
          <w:lang w:val="es-ES"/>
        </w:rPr>
        <w:t xml:space="preserve"> obras</w:t>
      </w:r>
      <w:r w:rsidR="00D0055D">
        <w:rPr>
          <w:lang w:val="es-ES"/>
        </w:rPr>
        <w:t xml:space="preserve"> y el 15% (</w:t>
      </w:r>
      <w:r w:rsidR="00396648">
        <w:rPr>
          <w:lang w:val="es-ES"/>
        </w:rPr>
        <w:t>87,2</w:t>
      </w:r>
      <w:r w:rsidR="00D0055D">
        <w:rPr>
          <w:lang w:val="es-ES"/>
        </w:rPr>
        <w:t xml:space="preserve"> millones) a su</w:t>
      </w:r>
      <w:r w:rsidR="00D0055D" w:rsidRPr="005D2A88">
        <w:rPr>
          <w:lang w:val="es-ES"/>
        </w:rPr>
        <w:t>ministros</w:t>
      </w:r>
      <w:r w:rsidR="00D0055D">
        <w:rPr>
          <w:lang w:val="es-ES"/>
        </w:rPr>
        <w:t>.</w:t>
      </w:r>
    </w:p>
    <w:p w14:paraId="6ADC71ED" w14:textId="77777777" w:rsidR="008A2965" w:rsidRDefault="008A2965" w:rsidP="005D2A88">
      <w:pPr>
        <w:pStyle w:val="CuerpodetextoNotadePrensa"/>
        <w:rPr>
          <w:lang w:val="es-ES"/>
        </w:rPr>
      </w:pPr>
    </w:p>
    <w:p w14:paraId="15668432" w14:textId="5AF7D954" w:rsidR="005D2A88" w:rsidRDefault="005D2A88" w:rsidP="005D2A88">
      <w:pPr>
        <w:pStyle w:val="CuerpodetextoNotadePrensa"/>
        <w:rPr>
          <w:lang w:val="es-ES"/>
        </w:rPr>
      </w:pPr>
      <w:r w:rsidRPr="005D2A88">
        <w:rPr>
          <w:lang w:val="es-ES"/>
        </w:rPr>
        <w:t xml:space="preserve">En cuanto al procedimiento de adjudicación, </w:t>
      </w:r>
      <w:r w:rsidR="00AE109D">
        <w:rPr>
          <w:lang w:val="es-ES"/>
        </w:rPr>
        <w:t>el 95,</w:t>
      </w:r>
      <w:r w:rsidR="00E4367D">
        <w:rPr>
          <w:lang w:val="es-ES"/>
        </w:rPr>
        <w:t>3</w:t>
      </w:r>
      <w:r w:rsidR="00AE109D">
        <w:rPr>
          <w:lang w:val="es-ES"/>
        </w:rPr>
        <w:t>%</w:t>
      </w:r>
      <w:r w:rsidRPr="005D2A88">
        <w:rPr>
          <w:lang w:val="es-ES"/>
        </w:rPr>
        <w:t xml:space="preserve"> </w:t>
      </w:r>
      <w:r w:rsidR="00AE109D">
        <w:rPr>
          <w:lang w:val="es-ES"/>
        </w:rPr>
        <w:t>de los contratos (56</w:t>
      </w:r>
      <w:r w:rsidR="00E4367D">
        <w:rPr>
          <w:lang w:val="es-ES"/>
        </w:rPr>
        <w:t>5</w:t>
      </w:r>
      <w:r w:rsidR="00AE109D">
        <w:rPr>
          <w:lang w:val="es-ES"/>
        </w:rPr>
        <w:t xml:space="preserve">) </w:t>
      </w:r>
      <w:r w:rsidRPr="005D2A88">
        <w:rPr>
          <w:lang w:val="es-ES"/>
        </w:rPr>
        <w:t xml:space="preserve">se licitará </w:t>
      </w:r>
      <w:r w:rsidR="00AE109D">
        <w:rPr>
          <w:lang w:val="es-ES"/>
        </w:rPr>
        <w:t xml:space="preserve">por </w:t>
      </w:r>
      <w:r w:rsidRPr="005D2A88">
        <w:rPr>
          <w:lang w:val="es-ES"/>
        </w:rPr>
        <w:t>el procedimiento abierto.</w:t>
      </w:r>
    </w:p>
    <w:p w14:paraId="71594607" w14:textId="08E06492" w:rsidR="006E437B" w:rsidRDefault="006E437B" w:rsidP="005D2A88">
      <w:pPr>
        <w:pStyle w:val="CuerpodetextoNotadePrensa"/>
        <w:rPr>
          <w:lang w:val="es-ES"/>
        </w:rPr>
      </w:pPr>
    </w:p>
    <w:p w14:paraId="237EE96A" w14:textId="47A323D7" w:rsidR="006E437B" w:rsidRPr="006E437B" w:rsidRDefault="006E437B" w:rsidP="006E437B">
      <w:pPr>
        <w:pStyle w:val="CuerpodetextoNotadePrensa"/>
        <w:rPr>
          <w:lang w:val="es-ES"/>
        </w:rPr>
      </w:pPr>
      <w:r>
        <w:rPr>
          <w:lang w:val="es-ES"/>
        </w:rPr>
        <w:t>El</w:t>
      </w:r>
      <w:r w:rsidRPr="006E437B">
        <w:rPr>
          <w:lang w:val="es-ES"/>
        </w:rPr>
        <w:t xml:space="preserve"> Gobierno regional estima que el </w:t>
      </w:r>
      <w:r w:rsidR="00BD671D">
        <w:rPr>
          <w:lang w:val="es-ES"/>
        </w:rPr>
        <w:t>70%</w:t>
      </w:r>
      <w:r w:rsidRPr="006E437B">
        <w:rPr>
          <w:lang w:val="es-ES"/>
        </w:rPr>
        <w:t xml:space="preserve"> (</w:t>
      </w:r>
      <w:r w:rsidR="00BD671D">
        <w:rPr>
          <w:lang w:val="es-ES"/>
        </w:rPr>
        <w:t>416)</w:t>
      </w:r>
      <w:r w:rsidRPr="006E437B">
        <w:rPr>
          <w:lang w:val="es-ES"/>
        </w:rPr>
        <w:t xml:space="preserve"> se licit</w:t>
      </w:r>
      <w:r w:rsidR="00BD671D">
        <w:rPr>
          <w:lang w:val="es-ES"/>
        </w:rPr>
        <w:t>ará</w:t>
      </w:r>
      <w:r w:rsidRPr="006E437B">
        <w:rPr>
          <w:lang w:val="es-ES"/>
        </w:rPr>
        <w:t xml:space="preserve"> en el primer semestre de este año.</w:t>
      </w:r>
    </w:p>
    <w:p w14:paraId="4DAB0CED" w14:textId="77777777" w:rsidR="000830BD" w:rsidRDefault="000830BD" w:rsidP="00731AD2">
      <w:pPr>
        <w:pStyle w:val="CuerpodetextoNotadePrensa"/>
        <w:rPr>
          <w:color w:val="202122"/>
          <w:shd w:val="clear" w:color="auto" w:fill="FFFFFF"/>
          <w:lang w:val="es-ES"/>
        </w:rPr>
      </w:pPr>
    </w:p>
    <w:p w14:paraId="1498D050" w14:textId="24BB26D2" w:rsidR="007F03E9" w:rsidRPr="007F03E9" w:rsidRDefault="007F03E9" w:rsidP="00731AD2">
      <w:pPr>
        <w:pStyle w:val="CuerpodetextoNotadePrensa"/>
        <w:rPr>
          <w:color w:val="202122"/>
          <w:shd w:val="clear" w:color="auto" w:fill="FFFFFF"/>
          <w:lang w:val="es-ES"/>
        </w:rPr>
      </w:pPr>
      <w:r>
        <w:rPr>
          <w:color w:val="202122"/>
          <w:shd w:val="clear" w:color="auto" w:fill="FFFFFF"/>
          <w:lang w:val="es-ES"/>
        </w:rPr>
        <w:t xml:space="preserve">A </w:t>
      </w:r>
      <w:r w:rsidR="008E65FE">
        <w:rPr>
          <w:color w:val="202122"/>
          <w:shd w:val="clear" w:color="auto" w:fill="FFFFFF"/>
          <w:lang w:val="es-ES"/>
        </w:rPr>
        <w:t>continuación,</w:t>
      </w:r>
      <w:r>
        <w:rPr>
          <w:color w:val="202122"/>
          <w:shd w:val="clear" w:color="auto" w:fill="FFFFFF"/>
          <w:lang w:val="es-ES"/>
        </w:rPr>
        <w:t xml:space="preserve"> se desglosa </w:t>
      </w:r>
      <w:r w:rsidR="00516A83">
        <w:rPr>
          <w:color w:val="202122"/>
          <w:shd w:val="clear" w:color="auto" w:fill="FFFFFF"/>
          <w:lang w:val="es-ES"/>
        </w:rPr>
        <w:t xml:space="preserve">por consejerías </w:t>
      </w:r>
      <w:r>
        <w:rPr>
          <w:color w:val="202122"/>
          <w:shd w:val="clear" w:color="auto" w:fill="FFFFFF"/>
          <w:lang w:val="es-ES"/>
        </w:rPr>
        <w:t xml:space="preserve">el </w:t>
      </w:r>
      <w:r w:rsidR="0072654D">
        <w:rPr>
          <w:color w:val="202122"/>
          <w:shd w:val="clear" w:color="auto" w:fill="FFFFFF"/>
          <w:lang w:val="es-ES"/>
        </w:rPr>
        <w:t xml:space="preserve">resumen </w:t>
      </w:r>
      <w:r w:rsidR="00BD7898">
        <w:rPr>
          <w:color w:val="202122"/>
          <w:shd w:val="clear" w:color="auto" w:fill="FFFFFF"/>
          <w:lang w:val="es-ES"/>
        </w:rPr>
        <w:t>del Plan de Contratación del Sector Público 2024</w:t>
      </w:r>
      <w:r w:rsidR="00516A83">
        <w:rPr>
          <w:color w:val="202122"/>
          <w:shd w:val="clear" w:color="auto" w:fill="FFFFFF"/>
          <w:lang w:val="es-ES"/>
        </w:rPr>
        <w:t>:</w:t>
      </w:r>
    </w:p>
    <w:p w14:paraId="3AE64171" w14:textId="2E696F42" w:rsidR="007F03E9" w:rsidRDefault="007F03E9" w:rsidP="00731AD2">
      <w:pPr>
        <w:pStyle w:val="CuerpodetextoNotadePrensa"/>
        <w:rPr>
          <w:color w:val="202122"/>
          <w:shd w:val="clear" w:color="auto" w:fill="FFFFFF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0371A4" w14:paraId="1601ACD8" w14:textId="77777777" w:rsidTr="000830BD">
        <w:tc>
          <w:tcPr>
            <w:tcW w:w="9026" w:type="dxa"/>
          </w:tcPr>
          <w:tbl>
            <w:tblPr>
              <w:tblStyle w:val="Tabladecuadrcula5oscura-nfasis5"/>
              <w:tblW w:w="8800" w:type="dxa"/>
              <w:tblLook w:val="04A0" w:firstRow="1" w:lastRow="0" w:firstColumn="1" w:lastColumn="0" w:noHBand="0" w:noVBand="1"/>
            </w:tblPr>
            <w:tblGrid>
              <w:gridCol w:w="5017"/>
              <w:gridCol w:w="1729"/>
              <w:gridCol w:w="2054"/>
            </w:tblGrid>
            <w:tr w:rsidR="000371A4" w:rsidRPr="00C17D02" w14:paraId="2F2D55A3" w14:textId="77777777" w:rsidTr="000830B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017" w:type="dxa"/>
                  <w:tcBorders>
                    <w:bottom w:val="single" w:sz="4" w:space="0" w:color="FFFFFF" w:themeColor="background1"/>
                  </w:tcBorders>
                  <w:shd w:val="clear" w:color="auto" w:fill="243746"/>
                  <w:noWrap/>
                  <w:vAlign w:val="center"/>
                  <w:hideMark/>
                </w:tcPr>
                <w:p w14:paraId="66C95D0B" w14:textId="77777777" w:rsidR="000371A4" w:rsidRPr="00727919" w:rsidRDefault="000371A4" w:rsidP="000371A4">
                  <w:pPr>
                    <w:rPr>
                      <w:rFonts w:eastAsia="Times New Roman" w:cs="Calibri"/>
                      <w:b w:val="0"/>
                      <w:bCs w:val="0"/>
                      <w:sz w:val="24"/>
                      <w:szCs w:val="24"/>
                      <w:lang w:eastAsia="es-ES"/>
                    </w:rPr>
                  </w:pPr>
                  <w:r w:rsidRPr="00727919">
                    <w:rPr>
                      <w:rFonts w:eastAsia="Times New Roman" w:cs="Calibri"/>
                      <w:sz w:val="24"/>
                      <w:szCs w:val="24"/>
                      <w:lang w:eastAsia="es-ES"/>
                    </w:rPr>
                    <w:t>CONSEJERÍA</w:t>
                  </w:r>
                </w:p>
              </w:tc>
              <w:tc>
                <w:tcPr>
                  <w:tcW w:w="1729" w:type="dxa"/>
                  <w:shd w:val="clear" w:color="auto" w:fill="243746"/>
                  <w:noWrap/>
                  <w:vAlign w:val="center"/>
                  <w:hideMark/>
                </w:tcPr>
                <w:p w14:paraId="5603508D" w14:textId="77777777" w:rsidR="000371A4" w:rsidRPr="00727919" w:rsidRDefault="000371A4" w:rsidP="000371A4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Calibri"/>
                      <w:b w:val="0"/>
                      <w:bCs w:val="0"/>
                      <w:sz w:val="24"/>
                      <w:szCs w:val="24"/>
                      <w:lang w:eastAsia="es-ES"/>
                    </w:rPr>
                  </w:pPr>
                  <w:r w:rsidRPr="00727919">
                    <w:rPr>
                      <w:rFonts w:eastAsia="Times New Roman" w:cs="Calibri"/>
                      <w:sz w:val="24"/>
                      <w:szCs w:val="24"/>
                      <w:lang w:eastAsia="es-ES"/>
                    </w:rPr>
                    <w:t>Número de contratos</w:t>
                  </w:r>
                </w:p>
              </w:tc>
              <w:tc>
                <w:tcPr>
                  <w:tcW w:w="2054" w:type="dxa"/>
                  <w:shd w:val="clear" w:color="auto" w:fill="243746"/>
                  <w:noWrap/>
                  <w:vAlign w:val="center"/>
                  <w:hideMark/>
                </w:tcPr>
                <w:p w14:paraId="58361E18" w14:textId="77777777" w:rsidR="000371A4" w:rsidRPr="00727919" w:rsidRDefault="000371A4" w:rsidP="000371A4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Calibri"/>
                      <w:b w:val="0"/>
                      <w:bCs w:val="0"/>
                      <w:sz w:val="24"/>
                      <w:szCs w:val="24"/>
                      <w:lang w:eastAsia="es-ES"/>
                    </w:rPr>
                  </w:pPr>
                  <w:r w:rsidRPr="00727919">
                    <w:rPr>
                      <w:rFonts w:eastAsia="Times New Roman" w:cs="Calibri"/>
                      <w:sz w:val="24"/>
                      <w:szCs w:val="24"/>
                      <w:lang w:eastAsia="es-ES"/>
                    </w:rPr>
                    <w:t>Valor estimado (€)</w:t>
                  </w:r>
                </w:p>
              </w:tc>
            </w:tr>
            <w:tr w:rsidR="000371A4" w:rsidRPr="00C17D02" w14:paraId="21E014DF" w14:textId="77777777" w:rsidTr="000830B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017" w:type="dxa"/>
                  <w:shd w:val="clear" w:color="auto" w:fill="243746"/>
                  <w:noWrap/>
                  <w:vAlign w:val="center"/>
                  <w:hideMark/>
                </w:tcPr>
                <w:p w14:paraId="793B1CA9" w14:textId="77777777" w:rsidR="000371A4" w:rsidRPr="00727919" w:rsidRDefault="000371A4" w:rsidP="000371A4">
                  <w:pPr>
                    <w:rPr>
                      <w:b w:val="0"/>
                      <w:sz w:val="24"/>
                      <w:szCs w:val="24"/>
                    </w:rPr>
                  </w:pPr>
                  <w:r w:rsidRPr="00727919">
                    <w:rPr>
                      <w:b w:val="0"/>
                      <w:sz w:val="24"/>
                      <w:szCs w:val="24"/>
                    </w:rPr>
                    <w:t xml:space="preserve">Agricultura, Ganadería, Mundo Rural y Medio Ambiente </w:t>
                  </w:r>
                </w:p>
              </w:tc>
              <w:tc>
                <w:tcPr>
                  <w:tcW w:w="1729" w:type="dxa"/>
                  <w:noWrap/>
                  <w:vAlign w:val="center"/>
                  <w:hideMark/>
                </w:tcPr>
                <w:p w14:paraId="6BC7866A" w14:textId="77777777" w:rsidR="000371A4" w:rsidRPr="00803E0D" w:rsidRDefault="000371A4" w:rsidP="000371A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243746"/>
                      <w:sz w:val="24"/>
                      <w:szCs w:val="24"/>
                    </w:rPr>
                  </w:pPr>
                  <w:r w:rsidRPr="00803E0D">
                    <w:rPr>
                      <w:color w:val="243746"/>
                      <w:sz w:val="24"/>
                      <w:szCs w:val="24"/>
                    </w:rPr>
                    <w:t>92</w:t>
                  </w:r>
                </w:p>
              </w:tc>
              <w:tc>
                <w:tcPr>
                  <w:tcW w:w="2054" w:type="dxa"/>
                  <w:noWrap/>
                  <w:vAlign w:val="center"/>
                  <w:hideMark/>
                </w:tcPr>
                <w:p w14:paraId="607C76A2" w14:textId="77777777" w:rsidR="000371A4" w:rsidRPr="00803E0D" w:rsidRDefault="000371A4" w:rsidP="000371A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243746"/>
                      <w:sz w:val="24"/>
                      <w:szCs w:val="24"/>
                    </w:rPr>
                  </w:pPr>
                  <w:r w:rsidRPr="00803E0D">
                    <w:rPr>
                      <w:color w:val="243746"/>
                      <w:sz w:val="24"/>
                      <w:szCs w:val="24"/>
                    </w:rPr>
                    <w:t>48.295.883</w:t>
                  </w:r>
                </w:p>
              </w:tc>
            </w:tr>
            <w:tr w:rsidR="000371A4" w:rsidRPr="00C17D02" w14:paraId="5845796C" w14:textId="77777777" w:rsidTr="000830BD">
              <w:trPr>
                <w:trHeight w:val="4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017" w:type="dxa"/>
                  <w:shd w:val="clear" w:color="auto" w:fill="243746"/>
                  <w:noWrap/>
                  <w:vAlign w:val="center"/>
                  <w:hideMark/>
                </w:tcPr>
                <w:p w14:paraId="2C8D77B2" w14:textId="77777777" w:rsidR="000371A4" w:rsidRPr="00727919" w:rsidRDefault="000371A4" w:rsidP="000371A4">
                  <w:pPr>
                    <w:rPr>
                      <w:b w:val="0"/>
                      <w:sz w:val="24"/>
                      <w:szCs w:val="24"/>
                    </w:rPr>
                  </w:pPr>
                  <w:r w:rsidRPr="00727919">
                    <w:rPr>
                      <w:b w:val="0"/>
                      <w:sz w:val="24"/>
                      <w:szCs w:val="24"/>
                    </w:rPr>
                    <w:t xml:space="preserve">Cultura, Turismo, Deporte y Juventud </w:t>
                  </w:r>
                </w:p>
              </w:tc>
              <w:tc>
                <w:tcPr>
                  <w:tcW w:w="1729" w:type="dxa"/>
                  <w:noWrap/>
                  <w:vAlign w:val="center"/>
                  <w:hideMark/>
                </w:tcPr>
                <w:p w14:paraId="4A35A27C" w14:textId="77777777" w:rsidR="000371A4" w:rsidRPr="00803E0D" w:rsidRDefault="000371A4" w:rsidP="000371A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243746"/>
                      <w:sz w:val="24"/>
                      <w:szCs w:val="24"/>
                    </w:rPr>
                  </w:pPr>
                  <w:r w:rsidRPr="00803E0D">
                    <w:rPr>
                      <w:color w:val="243746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2054" w:type="dxa"/>
                  <w:noWrap/>
                  <w:vAlign w:val="center"/>
                  <w:hideMark/>
                </w:tcPr>
                <w:p w14:paraId="06A73914" w14:textId="77777777" w:rsidR="000371A4" w:rsidRPr="00803E0D" w:rsidRDefault="000371A4" w:rsidP="000371A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243746"/>
                      <w:sz w:val="24"/>
                      <w:szCs w:val="24"/>
                    </w:rPr>
                  </w:pPr>
                  <w:r w:rsidRPr="00803E0D">
                    <w:rPr>
                      <w:color w:val="243746"/>
                      <w:sz w:val="24"/>
                      <w:szCs w:val="24"/>
                    </w:rPr>
                    <w:t>8.332.730</w:t>
                  </w:r>
                </w:p>
              </w:tc>
            </w:tr>
            <w:tr w:rsidR="000371A4" w:rsidRPr="00C17D02" w14:paraId="60C4DDC4" w14:textId="77777777" w:rsidTr="000830B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017" w:type="dxa"/>
                  <w:shd w:val="clear" w:color="auto" w:fill="243746"/>
                  <w:noWrap/>
                  <w:vAlign w:val="center"/>
                  <w:hideMark/>
                </w:tcPr>
                <w:p w14:paraId="7C50172C" w14:textId="77777777" w:rsidR="000371A4" w:rsidRPr="00727919" w:rsidRDefault="000371A4" w:rsidP="000371A4">
                  <w:pPr>
                    <w:rPr>
                      <w:b w:val="0"/>
                      <w:sz w:val="24"/>
                      <w:szCs w:val="24"/>
                    </w:rPr>
                  </w:pPr>
                  <w:r w:rsidRPr="00727919">
                    <w:rPr>
                      <w:b w:val="0"/>
                      <w:sz w:val="24"/>
                      <w:szCs w:val="24"/>
                    </w:rPr>
                    <w:t xml:space="preserve">Economía, Innovación, Empresa y Trabajo Autónomo </w:t>
                  </w:r>
                </w:p>
              </w:tc>
              <w:tc>
                <w:tcPr>
                  <w:tcW w:w="1729" w:type="dxa"/>
                  <w:noWrap/>
                  <w:vAlign w:val="center"/>
                  <w:hideMark/>
                </w:tcPr>
                <w:p w14:paraId="2795E540" w14:textId="77777777" w:rsidR="000371A4" w:rsidRPr="00803E0D" w:rsidRDefault="000371A4" w:rsidP="000371A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243746"/>
                      <w:sz w:val="24"/>
                      <w:szCs w:val="24"/>
                    </w:rPr>
                  </w:pPr>
                  <w:r w:rsidRPr="00803E0D">
                    <w:rPr>
                      <w:color w:val="243746"/>
                      <w:sz w:val="24"/>
                      <w:szCs w:val="24"/>
                    </w:rPr>
                    <w:t>61</w:t>
                  </w:r>
                </w:p>
              </w:tc>
              <w:tc>
                <w:tcPr>
                  <w:tcW w:w="2054" w:type="dxa"/>
                  <w:noWrap/>
                  <w:vAlign w:val="center"/>
                  <w:hideMark/>
                </w:tcPr>
                <w:p w14:paraId="3C88A23D" w14:textId="77777777" w:rsidR="000371A4" w:rsidRPr="00803E0D" w:rsidRDefault="000371A4" w:rsidP="000371A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243746"/>
                      <w:sz w:val="24"/>
                      <w:szCs w:val="24"/>
                    </w:rPr>
                  </w:pPr>
                  <w:r w:rsidRPr="00803E0D">
                    <w:rPr>
                      <w:color w:val="243746"/>
                      <w:sz w:val="24"/>
                      <w:szCs w:val="24"/>
                    </w:rPr>
                    <w:t>20.348.300</w:t>
                  </w:r>
                </w:p>
              </w:tc>
            </w:tr>
            <w:tr w:rsidR="000371A4" w:rsidRPr="00C17D02" w14:paraId="52572DED" w14:textId="77777777" w:rsidTr="000830BD">
              <w:trPr>
                <w:trHeight w:val="4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017" w:type="dxa"/>
                  <w:shd w:val="clear" w:color="auto" w:fill="243746"/>
                  <w:noWrap/>
                  <w:vAlign w:val="center"/>
                  <w:hideMark/>
                </w:tcPr>
                <w:p w14:paraId="7B7C9FB6" w14:textId="77777777" w:rsidR="000371A4" w:rsidRPr="00727919" w:rsidRDefault="000371A4" w:rsidP="000371A4">
                  <w:pPr>
                    <w:rPr>
                      <w:b w:val="0"/>
                      <w:sz w:val="24"/>
                      <w:szCs w:val="24"/>
                    </w:rPr>
                  </w:pPr>
                  <w:r w:rsidRPr="00727919">
                    <w:rPr>
                      <w:b w:val="0"/>
                      <w:sz w:val="24"/>
                      <w:szCs w:val="24"/>
                    </w:rPr>
                    <w:t>Educación y Empleo</w:t>
                  </w:r>
                </w:p>
              </w:tc>
              <w:tc>
                <w:tcPr>
                  <w:tcW w:w="1729" w:type="dxa"/>
                  <w:noWrap/>
                  <w:vAlign w:val="center"/>
                  <w:hideMark/>
                </w:tcPr>
                <w:p w14:paraId="7707FE74" w14:textId="77777777" w:rsidR="000371A4" w:rsidRPr="00803E0D" w:rsidRDefault="000371A4" w:rsidP="000371A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243746"/>
                      <w:sz w:val="24"/>
                      <w:szCs w:val="24"/>
                    </w:rPr>
                  </w:pPr>
                  <w:r w:rsidRPr="00803E0D">
                    <w:rPr>
                      <w:color w:val="243746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2054" w:type="dxa"/>
                  <w:noWrap/>
                  <w:vAlign w:val="center"/>
                  <w:hideMark/>
                </w:tcPr>
                <w:p w14:paraId="08B9935E" w14:textId="77777777" w:rsidR="000371A4" w:rsidRPr="00803E0D" w:rsidRDefault="000371A4" w:rsidP="000371A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243746"/>
                      <w:sz w:val="24"/>
                      <w:szCs w:val="24"/>
                    </w:rPr>
                  </w:pPr>
                  <w:r w:rsidRPr="00803E0D">
                    <w:rPr>
                      <w:color w:val="243746"/>
                      <w:sz w:val="24"/>
                      <w:szCs w:val="24"/>
                    </w:rPr>
                    <w:t>77.734.140</w:t>
                  </w:r>
                </w:p>
              </w:tc>
            </w:tr>
            <w:tr w:rsidR="000371A4" w:rsidRPr="00C17D02" w14:paraId="6377F7E8" w14:textId="77777777" w:rsidTr="000830B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017" w:type="dxa"/>
                  <w:shd w:val="clear" w:color="auto" w:fill="243746"/>
                  <w:noWrap/>
                  <w:vAlign w:val="center"/>
                  <w:hideMark/>
                </w:tcPr>
                <w:p w14:paraId="7589C073" w14:textId="77777777" w:rsidR="000371A4" w:rsidRPr="00727919" w:rsidRDefault="000371A4" w:rsidP="000371A4">
                  <w:pPr>
                    <w:rPr>
                      <w:b w:val="0"/>
                      <w:sz w:val="24"/>
                      <w:szCs w:val="24"/>
                    </w:rPr>
                  </w:pPr>
                  <w:r w:rsidRPr="00727919">
                    <w:rPr>
                      <w:b w:val="0"/>
                      <w:sz w:val="24"/>
                      <w:szCs w:val="24"/>
                    </w:rPr>
                    <w:t xml:space="preserve">Hacienda, Gobernanza Pública, Sociedad Digital y Portavocía del Gobierno </w:t>
                  </w:r>
                </w:p>
              </w:tc>
              <w:tc>
                <w:tcPr>
                  <w:tcW w:w="1729" w:type="dxa"/>
                  <w:noWrap/>
                  <w:vAlign w:val="center"/>
                  <w:hideMark/>
                </w:tcPr>
                <w:p w14:paraId="40A8F66F" w14:textId="77777777" w:rsidR="000371A4" w:rsidRPr="00803E0D" w:rsidRDefault="000371A4" w:rsidP="000371A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243746"/>
                      <w:sz w:val="24"/>
                      <w:szCs w:val="24"/>
                    </w:rPr>
                  </w:pPr>
                  <w:r w:rsidRPr="00803E0D">
                    <w:rPr>
                      <w:color w:val="243746"/>
                      <w:sz w:val="24"/>
                      <w:szCs w:val="24"/>
                    </w:rPr>
                    <w:t>83</w:t>
                  </w:r>
                </w:p>
              </w:tc>
              <w:tc>
                <w:tcPr>
                  <w:tcW w:w="2054" w:type="dxa"/>
                  <w:noWrap/>
                  <w:vAlign w:val="center"/>
                  <w:hideMark/>
                </w:tcPr>
                <w:p w14:paraId="2D02E781" w14:textId="77777777" w:rsidR="000371A4" w:rsidRPr="00803E0D" w:rsidRDefault="000371A4" w:rsidP="000371A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243746"/>
                      <w:sz w:val="24"/>
                      <w:szCs w:val="24"/>
                    </w:rPr>
                  </w:pPr>
                  <w:r w:rsidRPr="00803E0D">
                    <w:rPr>
                      <w:color w:val="243746"/>
                      <w:sz w:val="24"/>
                      <w:szCs w:val="24"/>
                    </w:rPr>
                    <w:t>26.876.163</w:t>
                  </w:r>
                </w:p>
              </w:tc>
            </w:tr>
            <w:tr w:rsidR="000371A4" w:rsidRPr="00C17D02" w14:paraId="6ADD4B3B" w14:textId="77777777" w:rsidTr="000830BD">
              <w:trPr>
                <w:trHeight w:val="4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017" w:type="dxa"/>
                  <w:shd w:val="clear" w:color="auto" w:fill="243746"/>
                  <w:noWrap/>
                  <w:vAlign w:val="center"/>
                  <w:hideMark/>
                </w:tcPr>
                <w:p w14:paraId="0C6E7A64" w14:textId="77777777" w:rsidR="000371A4" w:rsidRPr="00727919" w:rsidRDefault="000371A4" w:rsidP="000371A4">
                  <w:pPr>
                    <w:rPr>
                      <w:b w:val="0"/>
                      <w:sz w:val="24"/>
                      <w:szCs w:val="24"/>
                    </w:rPr>
                  </w:pPr>
                  <w:r w:rsidRPr="00727919">
                    <w:rPr>
                      <w:b w:val="0"/>
                      <w:sz w:val="24"/>
                      <w:szCs w:val="24"/>
                    </w:rPr>
                    <w:t>Política Local, Infraestructuras y Lucha contra la Despoblación</w:t>
                  </w:r>
                </w:p>
              </w:tc>
              <w:tc>
                <w:tcPr>
                  <w:tcW w:w="1729" w:type="dxa"/>
                  <w:noWrap/>
                  <w:vAlign w:val="center"/>
                  <w:hideMark/>
                </w:tcPr>
                <w:p w14:paraId="055A1284" w14:textId="77777777" w:rsidR="000371A4" w:rsidRPr="00803E0D" w:rsidRDefault="000371A4" w:rsidP="000371A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243746"/>
                      <w:sz w:val="24"/>
                      <w:szCs w:val="24"/>
                    </w:rPr>
                  </w:pPr>
                  <w:r w:rsidRPr="00803E0D">
                    <w:rPr>
                      <w:color w:val="24374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2054" w:type="dxa"/>
                  <w:noWrap/>
                  <w:vAlign w:val="center"/>
                  <w:hideMark/>
                </w:tcPr>
                <w:p w14:paraId="6B8510AA" w14:textId="77777777" w:rsidR="000371A4" w:rsidRPr="00803E0D" w:rsidRDefault="000371A4" w:rsidP="000371A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243746"/>
                      <w:sz w:val="24"/>
                      <w:szCs w:val="24"/>
                    </w:rPr>
                  </w:pPr>
                  <w:r w:rsidRPr="00803E0D">
                    <w:rPr>
                      <w:color w:val="243746"/>
                      <w:sz w:val="24"/>
                      <w:szCs w:val="24"/>
                    </w:rPr>
                    <w:t>11.515.141</w:t>
                  </w:r>
                </w:p>
              </w:tc>
            </w:tr>
            <w:tr w:rsidR="000371A4" w:rsidRPr="00C17D02" w14:paraId="107461DA" w14:textId="77777777" w:rsidTr="000830B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017" w:type="dxa"/>
                  <w:shd w:val="clear" w:color="auto" w:fill="243746"/>
                  <w:noWrap/>
                  <w:vAlign w:val="center"/>
                  <w:hideMark/>
                </w:tcPr>
                <w:p w14:paraId="469C11D7" w14:textId="77777777" w:rsidR="000371A4" w:rsidRPr="00727919" w:rsidRDefault="000371A4" w:rsidP="000371A4">
                  <w:pPr>
                    <w:rPr>
                      <w:b w:val="0"/>
                      <w:sz w:val="24"/>
                      <w:szCs w:val="24"/>
                    </w:rPr>
                  </w:pPr>
                  <w:r w:rsidRPr="00727919">
                    <w:rPr>
                      <w:b w:val="0"/>
                      <w:sz w:val="24"/>
                      <w:szCs w:val="24"/>
                    </w:rPr>
                    <w:t xml:space="preserve">Salud y Políticas Sociales </w:t>
                  </w:r>
                </w:p>
              </w:tc>
              <w:tc>
                <w:tcPr>
                  <w:tcW w:w="1729" w:type="dxa"/>
                  <w:noWrap/>
                  <w:vAlign w:val="center"/>
                  <w:hideMark/>
                </w:tcPr>
                <w:p w14:paraId="6C65453C" w14:textId="77777777" w:rsidR="000371A4" w:rsidRPr="00803E0D" w:rsidRDefault="000371A4" w:rsidP="000371A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243746"/>
                      <w:sz w:val="24"/>
                      <w:szCs w:val="24"/>
                    </w:rPr>
                  </w:pPr>
                  <w:r w:rsidRPr="00803E0D">
                    <w:rPr>
                      <w:color w:val="243746"/>
                      <w:sz w:val="24"/>
                      <w:szCs w:val="24"/>
                    </w:rPr>
                    <w:t>224</w:t>
                  </w:r>
                </w:p>
              </w:tc>
              <w:tc>
                <w:tcPr>
                  <w:tcW w:w="2054" w:type="dxa"/>
                  <w:noWrap/>
                  <w:vAlign w:val="center"/>
                  <w:hideMark/>
                </w:tcPr>
                <w:p w14:paraId="041E10BA" w14:textId="77777777" w:rsidR="000371A4" w:rsidRPr="00803E0D" w:rsidRDefault="000371A4" w:rsidP="000371A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243746"/>
                      <w:sz w:val="24"/>
                      <w:szCs w:val="24"/>
                    </w:rPr>
                  </w:pPr>
                  <w:r w:rsidRPr="00803E0D">
                    <w:rPr>
                      <w:color w:val="243746"/>
                      <w:sz w:val="24"/>
                      <w:szCs w:val="24"/>
                    </w:rPr>
                    <w:t>368.918.003</w:t>
                  </w:r>
                </w:p>
              </w:tc>
            </w:tr>
            <w:tr w:rsidR="000371A4" w:rsidRPr="00C17D02" w14:paraId="00A58998" w14:textId="77777777" w:rsidTr="000830BD">
              <w:trPr>
                <w:trHeight w:val="4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017" w:type="dxa"/>
                  <w:shd w:val="clear" w:color="auto" w:fill="243746"/>
                  <w:noWrap/>
                  <w:vAlign w:val="center"/>
                </w:tcPr>
                <w:p w14:paraId="5BDA9719" w14:textId="77777777" w:rsidR="000371A4" w:rsidRPr="00727919" w:rsidRDefault="000371A4" w:rsidP="000371A4">
                  <w:pPr>
                    <w:rPr>
                      <w:b w:val="0"/>
                      <w:sz w:val="24"/>
                      <w:szCs w:val="24"/>
                    </w:rPr>
                  </w:pPr>
                  <w:r w:rsidRPr="00727919">
                    <w:rPr>
                      <w:b w:val="0"/>
                      <w:sz w:val="24"/>
                      <w:szCs w:val="24"/>
                    </w:rPr>
                    <w:t>Total</w:t>
                  </w:r>
                </w:p>
              </w:tc>
              <w:tc>
                <w:tcPr>
                  <w:tcW w:w="1729" w:type="dxa"/>
                  <w:noWrap/>
                  <w:vAlign w:val="center"/>
                </w:tcPr>
                <w:p w14:paraId="6BE38F0B" w14:textId="77777777" w:rsidR="000371A4" w:rsidRPr="00803E0D" w:rsidRDefault="000371A4" w:rsidP="000371A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color w:val="243746"/>
                      <w:sz w:val="24"/>
                      <w:szCs w:val="24"/>
                    </w:rPr>
                  </w:pPr>
                  <w:r w:rsidRPr="00803E0D">
                    <w:rPr>
                      <w:b/>
                      <w:color w:val="243746"/>
                      <w:sz w:val="24"/>
                      <w:szCs w:val="24"/>
                    </w:rPr>
                    <w:t>593</w:t>
                  </w:r>
                </w:p>
              </w:tc>
              <w:tc>
                <w:tcPr>
                  <w:tcW w:w="2054" w:type="dxa"/>
                  <w:noWrap/>
                  <w:vAlign w:val="center"/>
                </w:tcPr>
                <w:p w14:paraId="13F38798" w14:textId="77777777" w:rsidR="000371A4" w:rsidRPr="00803E0D" w:rsidRDefault="000371A4" w:rsidP="000371A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color w:val="243746"/>
                      <w:sz w:val="24"/>
                      <w:szCs w:val="24"/>
                    </w:rPr>
                  </w:pPr>
                  <w:r w:rsidRPr="00803E0D">
                    <w:rPr>
                      <w:b/>
                      <w:color w:val="243746"/>
                      <w:sz w:val="24"/>
                      <w:szCs w:val="24"/>
                    </w:rPr>
                    <w:t>562.020.360</w:t>
                  </w:r>
                </w:p>
              </w:tc>
            </w:tr>
          </w:tbl>
          <w:p w14:paraId="699C489C" w14:textId="77777777" w:rsidR="000371A4" w:rsidRPr="00E078A5" w:rsidRDefault="000371A4" w:rsidP="000371A4">
            <w:pPr>
              <w:rPr>
                <w:color w:val="2F5496" w:themeColor="accent1" w:themeShade="BF"/>
              </w:rPr>
            </w:pPr>
          </w:p>
          <w:p w14:paraId="76618394" w14:textId="71D64F27" w:rsidR="000371A4" w:rsidRDefault="000371A4" w:rsidP="000830BD">
            <w:r>
              <w:rPr>
                <w:color w:val="2F5496" w:themeColor="accent1" w:themeShade="BF"/>
              </w:rPr>
              <w:br w:type="page"/>
            </w:r>
          </w:p>
        </w:tc>
      </w:tr>
    </w:tbl>
    <w:p w14:paraId="27ABD5DC" w14:textId="77777777" w:rsidR="00261510" w:rsidRPr="000C154F" w:rsidRDefault="00261510" w:rsidP="0047552C">
      <w:pPr>
        <w:pStyle w:val="CuerpodetextoNotadePrensa"/>
        <w:rPr>
          <w:lang w:val="es-ES"/>
        </w:rPr>
      </w:pPr>
    </w:p>
    <w:sectPr w:rsidR="00261510" w:rsidRPr="000C154F" w:rsidSect="00A623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78EB44" w14:textId="77777777" w:rsidR="009D56D1" w:rsidRDefault="009D56D1" w:rsidP="0069392B">
      <w:r>
        <w:separator/>
      </w:r>
    </w:p>
  </w:endnote>
  <w:endnote w:type="continuationSeparator" w:id="0">
    <w:p w14:paraId="4E052960" w14:textId="77777777" w:rsidR="009D56D1" w:rsidRDefault="009D56D1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A8EDD0" w14:textId="77777777" w:rsidR="009D56D1" w:rsidRDefault="009D56D1" w:rsidP="0069392B">
      <w:r>
        <w:separator/>
      </w:r>
    </w:p>
  </w:footnote>
  <w:footnote w:type="continuationSeparator" w:id="0">
    <w:p w14:paraId="2E16A8B3" w14:textId="77777777" w:rsidR="009D56D1" w:rsidRDefault="009D56D1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" filled="f" stroked="f"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" filled="f" stroked="f"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371A4"/>
    <w:rsid w:val="0004582D"/>
    <w:rsid w:val="000579A8"/>
    <w:rsid w:val="00061701"/>
    <w:rsid w:val="000830BD"/>
    <w:rsid w:val="000B002E"/>
    <w:rsid w:val="000C154F"/>
    <w:rsid w:val="000F3F3C"/>
    <w:rsid w:val="00100590"/>
    <w:rsid w:val="001037A5"/>
    <w:rsid w:val="001542F7"/>
    <w:rsid w:val="0018459D"/>
    <w:rsid w:val="001D5774"/>
    <w:rsid w:val="0020207D"/>
    <w:rsid w:val="00240D3F"/>
    <w:rsid w:val="00244FC3"/>
    <w:rsid w:val="00250CDB"/>
    <w:rsid w:val="00261510"/>
    <w:rsid w:val="002873D9"/>
    <w:rsid w:val="002C41E9"/>
    <w:rsid w:val="002C5DF7"/>
    <w:rsid w:val="002D3B2D"/>
    <w:rsid w:val="002E4839"/>
    <w:rsid w:val="002E72EE"/>
    <w:rsid w:val="00307CD0"/>
    <w:rsid w:val="003364A2"/>
    <w:rsid w:val="0034365A"/>
    <w:rsid w:val="00346ABB"/>
    <w:rsid w:val="0035439E"/>
    <w:rsid w:val="0039046B"/>
    <w:rsid w:val="00396648"/>
    <w:rsid w:val="003A3E60"/>
    <w:rsid w:val="003B2D80"/>
    <w:rsid w:val="003C1605"/>
    <w:rsid w:val="00407F27"/>
    <w:rsid w:val="00417179"/>
    <w:rsid w:val="00433216"/>
    <w:rsid w:val="00435C9E"/>
    <w:rsid w:val="0047552C"/>
    <w:rsid w:val="00477863"/>
    <w:rsid w:val="00495B58"/>
    <w:rsid w:val="00495D1F"/>
    <w:rsid w:val="004D420D"/>
    <w:rsid w:val="004D594F"/>
    <w:rsid w:val="0050645C"/>
    <w:rsid w:val="00516A83"/>
    <w:rsid w:val="00574433"/>
    <w:rsid w:val="0058176E"/>
    <w:rsid w:val="00596975"/>
    <w:rsid w:val="00597247"/>
    <w:rsid w:val="005D2A88"/>
    <w:rsid w:val="006027E6"/>
    <w:rsid w:val="006563C4"/>
    <w:rsid w:val="00673FFA"/>
    <w:rsid w:val="0069392B"/>
    <w:rsid w:val="006A7DBC"/>
    <w:rsid w:val="006B0802"/>
    <w:rsid w:val="006E437B"/>
    <w:rsid w:val="00706970"/>
    <w:rsid w:val="00716285"/>
    <w:rsid w:val="0072654D"/>
    <w:rsid w:val="00731AD2"/>
    <w:rsid w:val="00746DDE"/>
    <w:rsid w:val="007A7E63"/>
    <w:rsid w:val="007C7121"/>
    <w:rsid w:val="007D6FFF"/>
    <w:rsid w:val="007E4491"/>
    <w:rsid w:val="007F03E9"/>
    <w:rsid w:val="0087541B"/>
    <w:rsid w:val="00892C54"/>
    <w:rsid w:val="008A2965"/>
    <w:rsid w:val="008B05E4"/>
    <w:rsid w:val="008E65FE"/>
    <w:rsid w:val="008E7E40"/>
    <w:rsid w:val="00917E39"/>
    <w:rsid w:val="009267DA"/>
    <w:rsid w:val="009626CE"/>
    <w:rsid w:val="009735EC"/>
    <w:rsid w:val="00977EFE"/>
    <w:rsid w:val="009C1B08"/>
    <w:rsid w:val="009D56D1"/>
    <w:rsid w:val="009E7835"/>
    <w:rsid w:val="00A141BE"/>
    <w:rsid w:val="00A347CA"/>
    <w:rsid w:val="00A6238F"/>
    <w:rsid w:val="00A756FA"/>
    <w:rsid w:val="00AA0B41"/>
    <w:rsid w:val="00AC6E30"/>
    <w:rsid w:val="00AE109D"/>
    <w:rsid w:val="00B75318"/>
    <w:rsid w:val="00B93DBC"/>
    <w:rsid w:val="00B97FCD"/>
    <w:rsid w:val="00BA5D06"/>
    <w:rsid w:val="00BD671D"/>
    <w:rsid w:val="00BD7898"/>
    <w:rsid w:val="00BE70B2"/>
    <w:rsid w:val="00C05A43"/>
    <w:rsid w:val="00C22F34"/>
    <w:rsid w:val="00C648E7"/>
    <w:rsid w:val="00C83CF8"/>
    <w:rsid w:val="00CA7083"/>
    <w:rsid w:val="00CC08D8"/>
    <w:rsid w:val="00D0055D"/>
    <w:rsid w:val="00D017AC"/>
    <w:rsid w:val="00D312AD"/>
    <w:rsid w:val="00D53E08"/>
    <w:rsid w:val="00D83B75"/>
    <w:rsid w:val="00DA3494"/>
    <w:rsid w:val="00DD0856"/>
    <w:rsid w:val="00E16058"/>
    <w:rsid w:val="00E17156"/>
    <w:rsid w:val="00E41609"/>
    <w:rsid w:val="00E425C4"/>
    <w:rsid w:val="00E4367D"/>
    <w:rsid w:val="00E5085F"/>
    <w:rsid w:val="00E517E4"/>
    <w:rsid w:val="00E63FE9"/>
    <w:rsid w:val="00ED47D0"/>
    <w:rsid w:val="00F61262"/>
    <w:rsid w:val="00F671DE"/>
    <w:rsid w:val="00F73D33"/>
    <w:rsid w:val="00F8126E"/>
    <w:rsid w:val="00F92DFC"/>
    <w:rsid w:val="00FA37AB"/>
    <w:rsid w:val="00FA4DD6"/>
    <w:rsid w:val="00FA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table" w:styleId="Tablaconcuadrcula">
    <w:name w:val="Table Grid"/>
    <w:basedOn w:val="Tablanormal"/>
    <w:uiPriority w:val="39"/>
    <w:rsid w:val="00037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5oscura-nfasis5">
    <w:name w:val="Grid Table 5 Dark Accent 5"/>
    <w:basedOn w:val="Tablanormal"/>
    <w:uiPriority w:val="50"/>
    <w:rsid w:val="000371A4"/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6E437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43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es.wikipedia.org/wiki/Derechos_econ%C3%B3micos,_sociales_y_culturale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574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Sergio Caneda Sarralde</cp:lastModifiedBy>
  <cp:revision>37</cp:revision>
  <cp:lastPrinted>2024-02-23T11:36:00Z</cp:lastPrinted>
  <dcterms:created xsi:type="dcterms:W3CDTF">2024-02-22T12:57:00Z</dcterms:created>
  <dcterms:modified xsi:type="dcterms:W3CDTF">2024-02-26T19:12:00Z</dcterms:modified>
</cp:coreProperties>
</file>