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655610B" w:rsidR="00E517E4" w:rsidRPr="00A756FA" w:rsidRDefault="00B77C5C" w:rsidP="0047552C">
      <w:pPr>
        <w:pStyle w:val="FechaNotadePrensa"/>
        <w:jc w:val="both"/>
      </w:pPr>
      <w:bookmarkStart w:id="0" w:name="_Hlk139457860"/>
      <w:r>
        <w:t>Miércoles</w:t>
      </w:r>
      <w:r w:rsidR="00E517E4" w:rsidRPr="00A756FA">
        <w:t xml:space="preserve"> </w:t>
      </w:r>
      <w:r>
        <w:t>08</w:t>
      </w:r>
      <w:r w:rsidR="00E517E4" w:rsidRPr="00A756FA">
        <w:t>/</w:t>
      </w:r>
      <w:r>
        <w:t>01</w:t>
      </w:r>
      <w:r w:rsidR="00E517E4" w:rsidRPr="00A756FA">
        <w:t>/2</w:t>
      </w:r>
      <w:r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E6B0D66" w:rsidR="00261510" w:rsidRPr="004D594F" w:rsidRDefault="005C76AF" w:rsidP="0047552C">
      <w:pPr>
        <w:pStyle w:val="TtuloNotadePrensa"/>
        <w:jc w:val="both"/>
      </w:pPr>
      <w:bookmarkStart w:id="1" w:name="_Hlk139456888"/>
      <w:bookmarkEnd w:id="0"/>
      <w:r>
        <w:t>El Plan de Publicidad I</w:t>
      </w:r>
      <w:r w:rsidR="000E2D1F">
        <w:t>nstitucional de 2025 invertirá 3.061.000 eu</w:t>
      </w:r>
      <w:r w:rsidR="00195B6E">
        <w:t xml:space="preserve">ros en 73 campañas, más del 75% </w:t>
      </w:r>
      <w:r w:rsidR="000E2D1F">
        <w:t xml:space="preserve">de ellas, sociales y de servicio público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052A92E6" w14:textId="37BD2DF9" w:rsidR="000E2D1F" w:rsidRPr="000E2D1F" w:rsidRDefault="000E2D1F" w:rsidP="000E2D1F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</w:t>
      </w:r>
      <w:r w:rsidRPr="000E2D1F">
        <w:rPr>
          <w:b/>
          <w:lang w:val="es-ES"/>
        </w:rPr>
        <w:t xml:space="preserve"> programación de este</w:t>
      </w:r>
      <w:r>
        <w:rPr>
          <w:b/>
          <w:lang w:val="es-ES"/>
        </w:rPr>
        <w:t xml:space="preserve"> </w:t>
      </w:r>
      <w:r w:rsidRPr="000E2D1F">
        <w:rPr>
          <w:b/>
          <w:lang w:val="es-ES"/>
        </w:rPr>
        <w:t>año</w:t>
      </w:r>
      <w:r>
        <w:rPr>
          <w:b/>
          <w:lang w:val="es-ES"/>
        </w:rPr>
        <w:t xml:space="preserve"> </w:t>
      </w:r>
      <w:r w:rsidRPr="000E2D1F">
        <w:rPr>
          <w:b/>
          <w:lang w:val="es-ES"/>
        </w:rPr>
        <w:t>está</w:t>
      </w:r>
      <w:r>
        <w:rPr>
          <w:b/>
          <w:lang w:val="es-ES"/>
        </w:rPr>
        <w:t xml:space="preserve"> </w:t>
      </w:r>
      <w:r w:rsidRPr="000E2D1F">
        <w:rPr>
          <w:b/>
          <w:lang w:val="es-ES"/>
        </w:rPr>
        <w:t>centrada</w:t>
      </w:r>
      <w:r>
        <w:rPr>
          <w:b/>
          <w:lang w:val="es-ES"/>
        </w:rPr>
        <w:t xml:space="preserve"> </w:t>
      </w:r>
      <w:r w:rsidRPr="000E2D1F">
        <w:rPr>
          <w:b/>
          <w:lang w:val="es-ES"/>
        </w:rPr>
        <w:t xml:space="preserve">en iniciativas </w:t>
      </w:r>
      <w:r>
        <w:rPr>
          <w:b/>
          <w:lang w:val="es-ES"/>
        </w:rPr>
        <w:t>culturales</w:t>
      </w:r>
      <w:r w:rsidRPr="000E2D1F">
        <w:rPr>
          <w:b/>
          <w:lang w:val="es-ES"/>
        </w:rPr>
        <w:t xml:space="preserve">, </w:t>
      </w:r>
      <w:r>
        <w:rPr>
          <w:b/>
          <w:lang w:val="es-ES"/>
        </w:rPr>
        <w:t xml:space="preserve">de </w:t>
      </w:r>
      <w:r w:rsidRPr="000E2D1F">
        <w:rPr>
          <w:b/>
          <w:lang w:val="es-ES"/>
        </w:rPr>
        <w:t>cuidado de la salud, herramientas de modernizaci</w:t>
      </w:r>
      <w:r>
        <w:rPr>
          <w:b/>
          <w:lang w:val="es-ES"/>
        </w:rPr>
        <w:t xml:space="preserve">ón de la Administración Pública, </w:t>
      </w:r>
      <w:r w:rsidRPr="000E2D1F">
        <w:rPr>
          <w:b/>
          <w:lang w:val="es-ES"/>
        </w:rPr>
        <w:t xml:space="preserve">ayudas </w:t>
      </w:r>
      <w:r>
        <w:rPr>
          <w:b/>
          <w:lang w:val="es-ES"/>
        </w:rPr>
        <w:t>de ADER</w:t>
      </w:r>
      <w:r w:rsidRPr="000E2D1F">
        <w:rPr>
          <w:b/>
          <w:lang w:val="es-ES"/>
        </w:rPr>
        <w:t xml:space="preserve"> a empresas y</w:t>
      </w:r>
      <w:r>
        <w:rPr>
          <w:b/>
          <w:lang w:val="es-ES"/>
        </w:rPr>
        <w:t xml:space="preserve"> </w:t>
      </w:r>
      <w:r w:rsidRPr="000E2D1F">
        <w:rPr>
          <w:b/>
          <w:lang w:val="es-ES"/>
        </w:rPr>
        <w:t>autónomos</w:t>
      </w:r>
      <w:r>
        <w:rPr>
          <w:b/>
          <w:lang w:val="es-ES"/>
        </w:rPr>
        <w:t>,</w:t>
      </w:r>
      <w:r w:rsidRPr="000E2D1F">
        <w:rPr>
          <w:b/>
          <w:lang w:val="es-ES"/>
        </w:rPr>
        <w:t xml:space="preserve"> </w:t>
      </w:r>
      <w:r>
        <w:rPr>
          <w:b/>
          <w:lang w:val="es-ES"/>
        </w:rPr>
        <w:t xml:space="preserve">y </w:t>
      </w:r>
      <w:r w:rsidRPr="000E2D1F">
        <w:rPr>
          <w:b/>
          <w:lang w:val="es-ES"/>
        </w:rPr>
        <w:t>avales para la compra de vivienda</w:t>
      </w:r>
    </w:p>
    <w:p w14:paraId="7B095281" w14:textId="2FAF1686" w:rsidR="001037A5" w:rsidRPr="00B77C5C" w:rsidRDefault="001037A5" w:rsidP="0047552C">
      <w:pPr>
        <w:pStyle w:val="CuerpodetextoNotadePrensa"/>
        <w:rPr>
          <w:b/>
          <w:lang w:val="es-ES"/>
        </w:rPr>
      </w:pPr>
    </w:p>
    <w:p w14:paraId="16FABC68" w14:textId="4475F0C4" w:rsidR="00493AC4" w:rsidRPr="00493AC4" w:rsidRDefault="00310FE0" w:rsidP="00493AC4">
      <w:pPr>
        <w:pStyle w:val="CuerpodetextoNotadePrensa"/>
        <w:rPr>
          <w:lang w:val="es-ES"/>
        </w:rPr>
      </w:pPr>
      <w:r w:rsidRPr="00310FE0">
        <w:rPr>
          <w:color w:val="auto"/>
          <w:lang w:val="es-ES"/>
        </w:rPr>
        <w:t>El Consejo de</w:t>
      </w:r>
      <w:r>
        <w:rPr>
          <w:lang w:val="es-ES"/>
        </w:rPr>
        <w:t xml:space="preserve"> Gobierno ha aprobado este miércoles, 8 de enero, el Plan de Publicidad Institucional</w:t>
      </w:r>
      <w:r w:rsidR="00493AC4">
        <w:rPr>
          <w:lang w:val="es-ES"/>
        </w:rPr>
        <w:t xml:space="preserve"> (PPI) </w:t>
      </w:r>
      <w:r>
        <w:rPr>
          <w:lang w:val="es-ES"/>
        </w:rPr>
        <w:t>de 2025, que invertirá 3.061.000 euros en el desarrollo de 73 campañas institucionales, más del 75% de ellas, sociales y de servicio público</w:t>
      </w:r>
      <w:r w:rsidR="0066158E">
        <w:rPr>
          <w:lang w:val="es-ES"/>
        </w:rPr>
        <w:t>, prueba de la conexión de la programación con las necesidades y demandas divulgativas de la sociedad riojana</w:t>
      </w:r>
      <w:r>
        <w:rPr>
          <w:lang w:val="es-ES"/>
        </w:rPr>
        <w:t xml:space="preserve">. </w:t>
      </w:r>
      <w:r w:rsidR="00493AC4">
        <w:rPr>
          <w:lang w:val="es-ES"/>
        </w:rPr>
        <w:t xml:space="preserve">El PPI está centrado </w:t>
      </w:r>
      <w:r w:rsidR="00493AC4" w:rsidRPr="00493AC4">
        <w:rPr>
          <w:lang w:val="es-ES"/>
        </w:rPr>
        <w:t>principalmente en difundir iniciativas de interés social y</w:t>
      </w:r>
      <w:r w:rsidR="00493AC4">
        <w:rPr>
          <w:lang w:val="es-ES"/>
        </w:rPr>
        <w:t xml:space="preserve"> </w:t>
      </w:r>
      <w:r w:rsidR="00493AC4" w:rsidRPr="00493AC4">
        <w:rPr>
          <w:lang w:val="es-ES"/>
        </w:rPr>
        <w:t>cultural, cuidado de la salud, herramientas de modernización de la Administración Pública o iniciativas</w:t>
      </w:r>
      <w:r w:rsidR="00493AC4">
        <w:rPr>
          <w:lang w:val="es-ES"/>
        </w:rPr>
        <w:t xml:space="preserve"> </w:t>
      </w:r>
      <w:r w:rsidR="00E52A6E">
        <w:rPr>
          <w:lang w:val="es-ES"/>
        </w:rPr>
        <w:t xml:space="preserve">y servicios </w:t>
      </w:r>
      <w:r w:rsidR="00CD27A5">
        <w:rPr>
          <w:lang w:val="es-ES"/>
        </w:rPr>
        <w:t>del sector público</w:t>
      </w:r>
      <w:r w:rsidR="00493AC4" w:rsidRPr="00493AC4">
        <w:rPr>
          <w:lang w:val="es-ES"/>
        </w:rPr>
        <w:t>, como las ayudas de la ADER a empresas y a</w:t>
      </w:r>
      <w:r w:rsidR="00493AC4">
        <w:rPr>
          <w:lang w:val="es-ES"/>
        </w:rPr>
        <w:t xml:space="preserve"> </w:t>
      </w:r>
      <w:r w:rsidR="00493AC4" w:rsidRPr="00493AC4">
        <w:rPr>
          <w:lang w:val="es-ES"/>
        </w:rPr>
        <w:t>autónomos</w:t>
      </w:r>
      <w:r w:rsidR="00425979">
        <w:rPr>
          <w:lang w:val="es-ES"/>
        </w:rPr>
        <w:t>,</w:t>
      </w:r>
      <w:r w:rsidR="00493AC4" w:rsidRPr="00493AC4">
        <w:rPr>
          <w:lang w:val="es-ES"/>
        </w:rPr>
        <w:t xml:space="preserve"> o el programa de avales autonómicos para la compra de vivienda.</w:t>
      </w:r>
    </w:p>
    <w:p w14:paraId="15C4EFB2" w14:textId="77777777" w:rsidR="0020207D" w:rsidRPr="00B77C5C" w:rsidRDefault="0020207D" w:rsidP="0047552C">
      <w:pPr>
        <w:pStyle w:val="CuerpodetextoNotadePrensa"/>
        <w:rPr>
          <w:lang w:val="es-ES"/>
        </w:rPr>
      </w:pPr>
    </w:p>
    <w:p w14:paraId="6C8EFD02" w14:textId="0C41DDFA" w:rsidR="00135464" w:rsidRPr="00485D8C" w:rsidRDefault="00AE6710" w:rsidP="00135464">
      <w:pPr>
        <w:pStyle w:val="CuerpodetextoNotadePrensa"/>
        <w:rPr>
          <w:bCs/>
          <w:iCs/>
          <w:color w:val="auto"/>
          <w:lang w:val="es-ES"/>
        </w:rPr>
      </w:pPr>
      <w:r>
        <w:rPr>
          <w:color w:val="auto"/>
          <w:lang w:val="es-ES"/>
        </w:rPr>
        <w:t>De las</w:t>
      </w:r>
      <w:r w:rsidR="00135464" w:rsidRPr="00485D8C">
        <w:rPr>
          <w:color w:val="auto"/>
          <w:lang w:val="es-ES"/>
        </w:rPr>
        <w:t xml:space="preserve"> </w:t>
      </w:r>
      <w:r w:rsidR="00135464" w:rsidRPr="00485D8C">
        <w:rPr>
          <w:bCs/>
          <w:iCs/>
          <w:color w:val="auto"/>
          <w:lang w:val="es-ES"/>
        </w:rPr>
        <w:t>73 campañas de publicidad</w:t>
      </w:r>
      <w:r>
        <w:rPr>
          <w:bCs/>
          <w:iCs/>
          <w:color w:val="auto"/>
          <w:lang w:val="es-ES"/>
        </w:rPr>
        <w:t xml:space="preserve"> previstas</w:t>
      </w:r>
      <w:r w:rsidR="00135464" w:rsidRPr="00485D8C">
        <w:rPr>
          <w:color w:val="auto"/>
          <w:lang w:val="es-ES"/>
        </w:rPr>
        <w:t xml:space="preserve">, </w:t>
      </w:r>
      <w:r w:rsidR="00135464" w:rsidRPr="00485D8C">
        <w:rPr>
          <w:bCs/>
          <w:iCs/>
          <w:color w:val="auto"/>
          <w:lang w:val="es-ES"/>
        </w:rPr>
        <w:t xml:space="preserve">52 </w:t>
      </w:r>
      <w:r>
        <w:rPr>
          <w:bCs/>
          <w:iCs/>
          <w:color w:val="auto"/>
          <w:lang w:val="es-ES"/>
        </w:rPr>
        <w:t>corresponden</w:t>
      </w:r>
      <w:r w:rsidR="00135464" w:rsidRPr="00485D8C">
        <w:rPr>
          <w:bCs/>
          <w:iCs/>
          <w:color w:val="auto"/>
          <w:lang w:val="es-ES"/>
        </w:rPr>
        <w:t xml:space="preserve"> </w:t>
      </w:r>
      <w:r>
        <w:rPr>
          <w:bCs/>
          <w:iCs/>
          <w:color w:val="auto"/>
          <w:lang w:val="es-ES"/>
        </w:rPr>
        <w:t>a</w:t>
      </w:r>
      <w:r w:rsidR="00135464" w:rsidRPr="00485D8C">
        <w:rPr>
          <w:bCs/>
          <w:iCs/>
          <w:color w:val="auto"/>
          <w:lang w:val="es-ES"/>
        </w:rPr>
        <w:t xml:space="preserve"> publicidad convencional y 21 </w:t>
      </w:r>
      <w:r>
        <w:rPr>
          <w:bCs/>
          <w:iCs/>
          <w:color w:val="auto"/>
          <w:lang w:val="es-ES"/>
        </w:rPr>
        <w:t>a</w:t>
      </w:r>
      <w:r w:rsidR="00135464" w:rsidRPr="00485D8C">
        <w:rPr>
          <w:bCs/>
          <w:iCs/>
          <w:color w:val="auto"/>
          <w:lang w:val="es-ES"/>
        </w:rPr>
        <w:t xml:space="preserve"> </w:t>
      </w:r>
      <w:r w:rsidR="00485D8C" w:rsidRPr="00485D8C">
        <w:rPr>
          <w:bCs/>
          <w:iCs/>
          <w:color w:val="auto"/>
          <w:lang w:val="es-ES"/>
        </w:rPr>
        <w:t>redes sociales</w:t>
      </w:r>
      <w:r w:rsidR="00135464" w:rsidRPr="00485D8C">
        <w:rPr>
          <w:color w:val="auto"/>
          <w:lang w:val="es-ES"/>
        </w:rPr>
        <w:t>. De</w:t>
      </w:r>
      <w:r>
        <w:rPr>
          <w:color w:val="auto"/>
          <w:lang w:val="es-ES"/>
        </w:rPr>
        <w:t>l</w:t>
      </w:r>
      <w:r w:rsidR="00EA2343">
        <w:rPr>
          <w:color w:val="auto"/>
          <w:lang w:val="es-ES"/>
        </w:rPr>
        <w:t xml:space="preserve"> total,</w:t>
      </w:r>
      <w:r w:rsidR="00135464" w:rsidRPr="00485D8C">
        <w:rPr>
          <w:color w:val="auto"/>
          <w:lang w:val="es-ES"/>
        </w:rPr>
        <w:t xml:space="preserve"> </w:t>
      </w:r>
      <w:r w:rsidR="00EA2343">
        <w:rPr>
          <w:color w:val="auto"/>
          <w:lang w:val="es-ES"/>
        </w:rPr>
        <w:t xml:space="preserve">60 </w:t>
      </w:r>
      <w:r>
        <w:rPr>
          <w:bCs/>
          <w:iCs/>
          <w:color w:val="auto"/>
          <w:lang w:val="es-ES"/>
        </w:rPr>
        <w:t>pertenecen</w:t>
      </w:r>
      <w:r w:rsidR="00135464" w:rsidRPr="00485D8C">
        <w:rPr>
          <w:bCs/>
          <w:iCs/>
          <w:color w:val="auto"/>
          <w:lang w:val="es-ES"/>
        </w:rPr>
        <w:t xml:space="preserve"> a los órganos de la Administración General de la Comunidad Autónoma </w:t>
      </w:r>
      <w:r w:rsidR="00135464" w:rsidRPr="00485D8C">
        <w:rPr>
          <w:color w:val="auto"/>
          <w:lang w:val="es-ES"/>
        </w:rPr>
        <w:t>y 13</w:t>
      </w:r>
      <w:r w:rsidR="00EA2343">
        <w:rPr>
          <w:color w:val="auto"/>
          <w:lang w:val="es-ES"/>
        </w:rPr>
        <w:t>,</w:t>
      </w:r>
      <w:r w:rsidR="00135464" w:rsidRPr="00485D8C">
        <w:rPr>
          <w:color w:val="auto"/>
          <w:lang w:val="es-ES"/>
        </w:rPr>
        <w:t xml:space="preserve"> a los demás entes del sector público de La Rioja.</w:t>
      </w:r>
    </w:p>
    <w:p w14:paraId="35D1A600" w14:textId="77777777" w:rsidR="00485D8C" w:rsidRPr="00485D8C" w:rsidRDefault="00485D8C" w:rsidP="00135464">
      <w:pPr>
        <w:pStyle w:val="CuerpodetextoNotadePrensa"/>
        <w:rPr>
          <w:color w:val="auto"/>
          <w:lang w:val="es-ES"/>
        </w:rPr>
      </w:pPr>
    </w:p>
    <w:p w14:paraId="7D16E700" w14:textId="10057D5B" w:rsidR="00135464" w:rsidRDefault="00135464" w:rsidP="00135464">
      <w:pPr>
        <w:pStyle w:val="CuerpodetextoNotadePrensa"/>
        <w:rPr>
          <w:bCs/>
          <w:iCs/>
          <w:color w:val="auto"/>
          <w:lang w:val="es-ES"/>
        </w:rPr>
      </w:pPr>
      <w:r w:rsidRPr="00485D8C">
        <w:rPr>
          <w:color w:val="auto"/>
          <w:lang w:val="es-ES"/>
        </w:rPr>
        <w:t xml:space="preserve">La inversión en Publicidad Institucional del Gobierno de La Rioja en contratos de difusión, asciende a </w:t>
      </w:r>
      <w:r w:rsidRPr="00485D8C">
        <w:rPr>
          <w:bCs/>
          <w:iCs/>
          <w:color w:val="auto"/>
          <w:lang w:val="es-ES"/>
        </w:rPr>
        <w:t>3.061.000 euros</w:t>
      </w:r>
      <w:r w:rsidRPr="00485D8C">
        <w:rPr>
          <w:color w:val="auto"/>
          <w:lang w:val="es-ES"/>
        </w:rPr>
        <w:t>,</w:t>
      </w:r>
      <w:r w:rsidR="00485D8C" w:rsidRPr="00485D8C">
        <w:rPr>
          <w:color w:val="auto"/>
          <w:lang w:val="es-ES"/>
        </w:rPr>
        <w:t xml:space="preserve"> </w:t>
      </w:r>
      <w:r w:rsidRPr="00485D8C">
        <w:rPr>
          <w:color w:val="auto"/>
          <w:lang w:val="es-ES"/>
        </w:rPr>
        <w:t xml:space="preserve">de los que </w:t>
      </w:r>
      <w:r w:rsidRPr="00485D8C">
        <w:rPr>
          <w:bCs/>
          <w:iCs/>
          <w:color w:val="auto"/>
          <w:lang w:val="es-ES"/>
        </w:rPr>
        <w:t xml:space="preserve">1.100.000 euros </w:t>
      </w:r>
      <w:r w:rsidR="00AE6710">
        <w:rPr>
          <w:color w:val="auto"/>
          <w:lang w:val="es-ES"/>
        </w:rPr>
        <w:t>atañ</w:t>
      </w:r>
      <w:r w:rsidRPr="00485D8C">
        <w:rPr>
          <w:color w:val="auto"/>
          <w:lang w:val="es-ES"/>
        </w:rPr>
        <w:t xml:space="preserve">en a las campañas propuestas por la </w:t>
      </w:r>
      <w:r w:rsidRPr="00485D8C">
        <w:rPr>
          <w:bCs/>
          <w:iCs/>
          <w:color w:val="auto"/>
          <w:lang w:val="es-ES"/>
        </w:rPr>
        <w:t>Oficina del Presidente y las Consejerías</w:t>
      </w:r>
      <w:r w:rsidR="006538FC">
        <w:rPr>
          <w:bCs/>
          <w:iCs/>
          <w:color w:val="auto"/>
          <w:lang w:val="es-ES"/>
        </w:rPr>
        <w:t>,</w:t>
      </w:r>
      <w:r w:rsidR="00485D8C" w:rsidRPr="00485D8C">
        <w:rPr>
          <w:color w:val="auto"/>
          <w:lang w:val="es-ES"/>
        </w:rPr>
        <w:t xml:space="preserve"> </w:t>
      </w:r>
      <w:r w:rsidRPr="00485D8C">
        <w:rPr>
          <w:color w:val="auto"/>
          <w:lang w:val="es-ES"/>
        </w:rPr>
        <w:t xml:space="preserve">y </w:t>
      </w:r>
      <w:r w:rsidRPr="00485D8C">
        <w:rPr>
          <w:bCs/>
          <w:iCs/>
          <w:color w:val="auto"/>
          <w:lang w:val="es-ES"/>
        </w:rPr>
        <w:t xml:space="preserve">1.961.000 euros </w:t>
      </w:r>
      <w:r w:rsidRPr="00485D8C">
        <w:rPr>
          <w:color w:val="auto"/>
          <w:lang w:val="es-ES"/>
        </w:rPr>
        <w:t xml:space="preserve">a los </w:t>
      </w:r>
      <w:r w:rsidRPr="00485D8C">
        <w:rPr>
          <w:bCs/>
          <w:iCs/>
          <w:color w:val="auto"/>
          <w:lang w:val="es-ES"/>
        </w:rPr>
        <w:t xml:space="preserve">entes del sector público: </w:t>
      </w:r>
      <w:r w:rsidR="005C76AF">
        <w:rPr>
          <w:bCs/>
          <w:iCs/>
          <w:color w:val="auto"/>
          <w:lang w:val="es-ES"/>
        </w:rPr>
        <w:t xml:space="preserve">1.768.000 euros para ocho acciones de </w:t>
      </w:r>
      <w:r w:rsidR="005C76AF" w:rsidRPr="00485D8C">
        <w:rPr>
          <w:bCs/>
          <w:iCs/>
          <w:color w:val="auto"/>
          <w:lang w:val="es-ES"/>
        </w:rPr>
        <w:t>La Rioja 360</w:t>
      </w:r>
      <w:r w:rsidR="005C76AF" w:rsidRPr="00485D8C">
        <w:rPr>
          <w:color w:val="auto"/>
          <w:lang w:val="es-ES"/>
        </w:rPr>
        <w:t xml:space="preserve"> </w:t>
      </w:r>
      <w:r w:rsidR="005C76AF" w:rsidRPr="00485D8C">
        <w:rPr>
          <w:bCs/>
          <w:iCs/>
          <w:color w:val="auto"/>
          <w:lang w:val="es-ES"/>
        </w:rPr>
        <w:t>Grados Avanza, Sociedad de Promoción de La Rioja S.A.U.</w:t>
      </w:r>
      <w:r w:rsidR="005C76AF">
        <w:rPr>
          <w:bCs/>
          <w:iCs/>
          <w:color w:val="auto"/>
          <w:lang w:val="es-ES"/>
        </w:rPr>
        <w:t xml:space="preserve">; 115.000 euros para tres campañas de la </w:t>
      </w:r>
      <w:r w:rsidRPr="00485D8C">
        <w:rPr>
          <w:bCs/>
          <w:iCs/>
          <w:color w:val="auto"/>
          <w:lang w:val="es-ES"/>
        </w:rPr>
        <w:t>Agencia de Desarrollo Económico de La Rioja</w:t>
      </w:r>
      <w:r w:rsidR="005C76AF">
        <w:rPr>
          <w:bCs/>
          <w:iCs/>
          <w:color w:val="auto"/>
          <w:lang w:val="es-ES"/>
        </w:rPr>
        <w:t xml:space="preserve"> (ADER)</w:t>
      </w:r>
      <w:r w:rsidR="006538FC">
        <w:rPr>
          <w:bCs/>
          <w:iCs/>
          <w:color w:val="auto"/>
          <w:lang w:val="es-ES"/>
        </w:rPr>
        <w:t xml:space="preserve">; </w:t>
      </w:r>
      <w:r w:rsidR="005C76AF">
        <w:rPr>
          <w:bCs/>
          <w:iCs/>
          <w:color w:val="auto"/>
          <w:lang w:val="es-ES"/>
        </w:rPr>
        <w:t xml:space="preserve">60.000 euros para una iniciativa de la Fundación San Millán y 18.000 euros para una campaña de </w:t>
      </w:r>
      <w:proofErr w:type="spellStart"/>
      <w:r w:rsidRPr="00485D8C">
        <w:rPr>
          <w:bCs/>
          <w:iCs/>
          <w:color w:val="auto"/>
          <w:lang w:val="es-ES"/>
        </w:rPr>
        <w:t>Valdezcaray</w:t>
      </w:r>
      <w:proofErr w:type="spellEnd"/>
      <w:r w:rsidRPr="00485D8C">
        <w:rPr>
          <w:bCs/>
          <w:iCs/>
          <w:color w:val="auto"/>
          <w:lang w:val="es-ES"/>
        </w:rPr>
        <w:t>, S.A.</w:t>
      </w:r>
      <w:r w:rsidR="006538FC">
        <w:rPr>
          <w:bCs/>
          <w:iCs/>
          <w:color w:val="auto"/>
          <w:lang w:val="es-ES"/>
        </w:rPr>
        <w:t xml:space="preserve"> </w:t>
      </w:r>
    </w:p>
    <w:p w14:paraId="385CA20E" w14:textId="77777777" w:rsidR="00F310F7" w:rsidRDefault="00F310F7" w:rsidP="00F310F7">
      <w:pPr>
        <w:pStyle w:val="CuerpodetextoNotadePrensa"/>
        <w:rPr>
          <w:bCs/>
          <w:iCs/>
          <w:color w:val="auto"/>
          <w:lang w:val="es-ES"/>
        </w:rPr>
      </w:pPr>
    </w:p>
    <w:p w14:paraId="19E0AD21" w14:textId="6A236098" w:rsidR="00F310F7" w:rsidRDefault="00F310F7" w:rsidP="00F310F7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  <w:r>
        <w:rPr>
          <w:bCs/>
          <w:iCs/>
          <w:color w:val="auto"/>
          <w:lang w:val="es-ES"/>
        </w:rPr>
        <w:t>La</w:t>
      </w:r>
      <w:r w:rsidR="00AA4C72">
        <w:rPr>
          <w:rStyle w:val="Textoennegrita"/>
          <w:b w:val="0"/>
          <w:iCs/>
          <w:color w:val="222222"/>
          <w:lang w:val="es-ES"/>
        </w:rPr>
        <w:t xml:space="preserve"> consignación de fondos por</w:t>
      </w:r>
      <w:r w:rsidRPr="00F310F7">
        <w:rPr>
          <w:rStyle w:val="Textoennegrita"/>
          <w:b w:val="0"/>
          <w:color w:val="222222"/>
          <w:lang w:val="es-ES"/>
        </w:rPr>
        <w:t xml:space="preserve"> consejerías </w:t>
      </w:r>
      <w:r w:rsidR="00AA4C72">
        <w:rPr>
          <w:rStyle w:val="Textoennegrita"/>
          <w:b w:val="0"/>
          <w:iCs/>
          <w:color w:val="222222"/>
          <w:lang w:val="es-ES"/>
        </w:rPr>
        <w:t>es la siguiente:</w:t>
      </w:r>
      <w:r w:rsidRPr="00F310F7">
        <w:rPr>
          <w:rStyle w:val="Textoennegrita"/>
          <w:b w:val="0"/>
          <w:color w:val="222222"/>
          <w:lang w:val="es-ES"/>
        </w:rPr>
        <w:t xml:space="preserve"> Salud</w:t>
      </w:r>
      <w:r>
        <w:rPr>
          <w:rStyle w:val="Textoennegrita"/>
          <w:b w:val="0"/>
          <w:iCs/>
          <w:color w:val="222222"/>
          <w:lang w:val="es-ES"/>
        </w:rPr>
        <w:t xml:space="preserve"> y Servicios Sociales</w:t>
      </w:r>
      <w:r w:rsidRPr="00F310F7">
        <w:rPr>
          <w:rStyle w:val="Textoennegrita"/>
          <w:b w:val="0"/>
          <w:color w:val="222222"/>
          <w:lang w:val="es-ES"/>
        </w:rPr>
        <w:t xml:space="preserve"> (</w:t>
      </w:r>
      <w:r>
        <w:rPr>
          <w:rStyle w:val="Textoennegrita"/>
          <w:b w:val="0"/>
          <w:iCs/>
          <w:color w:val="222222"/>
          <w:lang w:val="es-ES"/>
        </w:rPr>
        <w:t>294.800</w:t>
      </w:r>
      <w:r w:rsidRPr="00F310F7">
        <w:rPr>
          <w:rStyle w:val="Textoennegrita"/>
          <w:b w:val="0"/>
          <w:color w:val="222222"/>
          <w:lang w:val="es-ES"/>
        </w:rPr>
        <w:t xml:space="preserve"> euros)</w:t>
      </w:r>
      <w:r w:rsidR="00AA4C72">
        <w:rPr>
          <w:rStyle w:val="Textoennegrita"/>
          <w:b w:val="0"/>
          <w:iCs/>
          <w:color w:val="222222"/>
          <w:lang w:val="es-ES"/>
        </w:rPr>
        <w:t>;</w:t>
      </w:r>
      <w:r w:rsidRPr="00F310F7">
        <w:rPr>
          <w:rStyle w:val="Textoennegrita"/>
          <w:b w:val="0"/>
          <w:color w:val="222222"/>
          <w:lang w:val="es-ES"/>
        </w:rPr>
        <w:t xml:space="preserve"> Cultura</w:t>
      </w:r>
      <w:r>
        <w:rPr>
          <w:rStyle w:val="Textoennegrita"/>
          <w:b w:val="0"/>
          <w:iCs/>
          <w:color w:val="222222"/>
          <w:lang w:val="es-ES"/>
        </w:rPr>
        <w:t>, Turismo, Deporte y Juventud</w:t>
      </w:r>
      <w:r w:rsidRPr="00F310F7">
        <w:rPr>
          <w:rStyle w:val="Textoennegrita"/>
          <w:b w:val="0"/>
          <w:color w:val="222222"/>
          <w:lang w:val="es-ES"/>
        </w:rPr>
        <w:t xml:space="preserve"> (1</w:t>
      </w:r>
      <w:r>
        <w:rPr>
          <w:rStyle w:val="Textoennegrita"/>
          <w:b w:val="0"/>
          <w:iCs/>
          <w:color w:val="222222"/>
          <w:lang w:val="es-ES"/>
        </w:rPr>
        <w:t>8</w:t>
      </w:r>
      <w:r w:rsidRPr="00F310F7">
        <w:rPr>
          <w:rStyle w:val="Textoennegrita"/>
          <w:b w:val="0"/>
          <w:color w:val="222222"/>
          <w:lang w:val="es-ES"/>
        </w:rPr>
        <w:t>0.800 euros)</w:t>
      </w:r>
      <w:r w:rsidR="00AA4C72">
        <w:rPr>
          <w:rStyle w:val="Textoennegrita"/>
          <w:b w:val="0"/>
          <w:iCs/>
          <w:color w:val="222222"/>
          <w:lang w:val="es-ES"/>
        </w:rPr>
        <w:t xml:space="preserve">; </w:t>
      </w:r>
      <w:r>
        <w:rPr>
          <w:rStyle w:val="Textoennegrita"/>
          <w:b w:val="0"/>
          <w:iCs/>
          <w:color w:val="222222"/>
          <w:lang w:val="es-ES"/>
        </w:rPr>
        <w:t>Agricultura</w:t>
      </w:r>
      <w:r w:rsidRPr="00F310F7">
        <w:rPr>
          <w:rStyle w:val="Textoennegrita"/>
          <w:b w:val="0"/>
          <w:color w:val="222222"/>
          <w:lang w:val="es-ES"/>
        </w:rPr>
        <w:t xml:space="preserve"> (1</w:t>
      </w:r>
      <w:r>
        <w:rPr>
          <w:rStyle w:val="Textoennegrita"/>
          <w:b w:val="0"/>
          <w:iCs/>
          <w:color w:val="222222"/>
          <w:lang w:val="es-ES"/>
        </w:rPr>
        <w:t>58</w:t>
      </w:r>
      <w:r w:rsidRPr="00F310F7">
        <w:rPr>
          <w:rStyle w:val="Textoennegrita"/>
          <w:b w:val="0"/>
          <w:color w:val="222222"/>
          <w:lang w:val="es-ES"/>
        </w:rPr>
        <w:t>.</w:t>
      </w:r>
      <w:r>
        <w:rPr>
          <w:rStyle w:val="Textoennegrita"/>
          <w:b w:val="0"/>
          <w:iCs/>
          <w:color w:val="222222"/>
          <w:lang w:val="es-ES"/>
        </w:rPr>
        <w:t>8</w:t>
      </w:r>
      <w:r w:rsidRPr="00F310F7">
        <w:rPr>
          <w:rStyle w:val="Textoennegrita"/>
          <w:b w:val="0"/>
          <w:color w:val="222222"/>
          <w:lang w:val="es-ES"/>
        </w:rPr>
        <w:t>00 euros)</w:t>
      </w:r>
      <w:r w:rsidR="00AA4C72">
        <w:rPr>
          <w:rStyle w:val="Textoennegrita"/>
          <w:b w:val="0"/>
          <w:iCs/>
          <w:color w:val="222222"/>
          <w:lang w:val="es-ES"/>
        </w:rPr>
        <w:t>;</w:t>
      </w:r>
      <w:r>
        <w:rPr>
          <w:rStyle w:val="Textoennegrita"/>
          <w:b w:val="0"/>
          <w:iCs/>
          <w:color w:val="222222"/>
          <w:lang w:val="es-ES"/>
        </w:rPr>
        <w:t xml:space="preserve"> </w:t>
      </w:r>
      <w:r w:rsidRPr="00F310F7">
        <w:rPr>
          <w:rStyle w:val="Textoennegrita"/>
          <w:b w:val="0"/>
          <w:color w:val="222222"/>
          <w:lang w:val="es-ES"/>
        </w:rPr>
        <w:t>Hacienda (</w:t>
      </w:r>
      <w:r>
        <w:rPr>
          <w:rStyle w:val="Textoennegrita"/>
          <w:b w:val="0"/>
          <w:iCs/>
          <w:color w:val="222222"/>
          <w:lang w:val="es-ES"/>
        </w:rPr>
        <w:t xml:space="preserve">135.200 </w:t>
      </w:r>
      <w:r w:rsidRPr="00F310F7">
        <w:rPr>
          <w:rStyle w:val="Textoennegrita"/>
          <w:b w:val="0"/>
          <w:color w:val="222222"/>
          <w:lang w:val="es-ES"/>
        </w:rPr>
        <w:t>euros)</w:t>
      </w:r>
      <w:r w:rsidR="00AA4C72">
        <w:rPr>
          <w:rStyle w:val="Textoennegrita"/>
          <w:b w:val="0"/>
          <w:iCs/>
          <w:color w:val="222222"/>
          <w:lang w:val="es-ES"/>
        </w:rPr>
        <w:t>;</w:t>
      </w:r>
      <w:r w:rsidRPr="00F310F7">
        <w:rPr>
          <w:rStyle w:val="Textoennegrita"/>
          <w:b w:val="0"/>
          <w:color w:val="222222"/>
          <w:lang w:val="es-ES"/>
        </w:rPr>
        <w:t xml:space="preserve"> </w:t>
      </w:r>
      <w:r>
        <w:rPr>
          <w:rStyle w:val="Textoennegrita"/>
          <w:b w:val="0"/>
          <w:iCs/>
          <w:color w:val="222222"/>
          <w:lang w:val="es-ES"/>
        </w:rPr>
        <w:t>Economía</w:t>
      </w:r>
      <w:r w:rsidRPr="00F310F7">
        <w:rPr>
          <w:rStyle w:val="Textoennegrita"/>
          <w:b w:val="0"/>
          <w:color w:val="222222"/>
          <w:lang w:val="es-ES"/>
        </w:rPr>
        <w:t xml:space="preserve"> (1</w:t>
      </w:r>
      <w:r>
        <w:rPr>
          <w:rStyle w:val="Textoennegrita"/>
          <w:b w:val="0"/>
          <w:iCs/>
          <w:color w:val="222222"/>
          <w:lang w:val="es-ES"/>
        </w:rPr>
        <w:t>00</w:t>
      </w:r>
      <w:r w:rsidRPr="00F310F7">
        <w:rPr>
          <w:rStyle w:val="Textoennegrita"/>
          <w:b w:val="0"/>
          <w:color w:val="222222"/>
          <w:lang w:val="es-ES"/>
        </w:rPr>
        <w:t>.</w:t>
      </w:r>
      <w:r>
        <w:rPr>
          <w:rStyle w:val="Textoennegrita"/>
          <w:b w:val="0"/>
          <w:iCs/>
          <w:color w:val="222222"/>
          <w:lang w:val="es-ES"/>
        </w:rPr>
        <w:t>2</w:t>
      </w:r>
      <w:r w:rsidRPr="00F310F7">
        <w:rPr>
          <w:rStyle w:val="Textoennegrita"/>
          <w:b w:val="0"/>
          <w:color w:val="222222"/>
          <w:lang w:val="es-ES"/>
        </w:rPr>
        <w:t>00 euros)</w:t>
      </w:r>
      <w:r w:rsidR="00AA4C72">
        <w:rPr>
          <w:rStyle w:val="Textoennegrita"/>
          <w:b w:val="0"/>
          <w:iCs/>
          <w:color w:val="222222"/>
          <w:lang w:val="es-ES"/>
        </w:rPr>
        <w:t>;</w:t>
      </w:r>
      <w:r w:rsidRPr="00F310F7">
        <w:rPr>
          <w:rStyle w:val="Textoennegrita"/>
          <w:b w:val="0"/>
          <w:color w:val="222222"/>
          <w:lang w:val="es-ES"/>
        </w:rPr>
        <w:t xml:space="preserve"> Política Local</w:t>
      </w:r>
      <w:r>
        <w:rPr>
          <w:rStyle w:val="Textoennegrita"/>
          <w:b w:val="0"/>
          <w:iCs/>
          <w:color w:val="222222"/>
          <w:lang w:val="es-ES"/>
        </w:rPr>
        <w:t xml:space="preserve"> (95.200 euros) y </w:t>
      </w:r>
      <w:r w:rsidRPr="00F310F7">
        <w:rPr>
          <w:rStyle w:val="Textoennegrita"/>
          <w:b w:val="0"/>
          <w:color w:val="222222"/>
          <w:lang w:val="es-ES"/>
        </w:rPr>
        <w:t>Educación</w:t>
      </w:r>
      <w:r>
        <w:rPr>
          <w:rStyle w:val="Textoennegrita"/>
          <w:b w:val="0"/>
          <w:iCs/>
          <w:color w:val="222222"/>
          <w:lang w:val="es-ES"/>
        </w:rPr>
        <w:t xml:space="preserve"> y Empleo</w:t>
      </w:r>
      <w:r w:rsidRPr="00F310F7">
        <w:rPr>
          <w:rStyle w:val="Textoennegrita"/>
          <w:b w:val="0"/>
          <w:color w:val="222222"/>
          <w:lang w:val="es-ES"/>
        </w:rPr>
        <w:t xml:space="preserve"> (</w:t>
      </w:r>
      <w:r>
        <w:rPr>
          <w:rStyle w:val="Textoennegrita"/>
          <w:b w:val="0"/>
          <w:iCs/>
          <w:color w:val="222222"/>
          <w:lang w:val="es-ES"/>
        </w:rPr>
        <w:t>95</w:t>
      </w:r>
      <w:r w:rsidRPr="00F310F7">
        <w:rPr>
          <w:rStyle w:val="Textoennegrita"/>
          <w:b w:val="0"/>
          <w:color w:val="222222"/>
          <w:lang w:val="es-ES"/>
        </w:rPr>
        <w:t>.000 euros). La Oficina del Presidente, con 40.000 euros, repite la dotación del Plan 202</w:t>
      </w:r>
      <w:r>
        <w:rPr>
          <w:rStyle w:val="Textoennegrita"/>
          <w:b w:val="0"/>
          <w:iCs/>
          <w:color w:val="222222"/>
          <w:lang w:val="es-ES"/>
        </w:rPr>
        <w:t>4</w:t>
      </w:r>
      <w:r w:rsidRPr="00F310F7">
        <w:rPr>
          <w:rStyle w:val="Textoennegrita"/>
          <w:b w:val="0"/>
          <w:color w:val="222222"/>
          <w:lang w:val="es-ES"/>
        </w:rPr>
        <w:t xml:space="preserve">. </w:t>
      </w:r>
      <w:r w:rsidR="00AE6710">
        <w:rPr>
          <w:rStyle w:val="Textoennegrita"/>
          <w:b w:val="0"/>
          <w:color w:val="222222"/>
          <w:lang w:val="es-ES"/>
        </w:rPr>
        <w:t>Si a la partida de Economía se suma la de la ADER, la inversión en divulgación de acciones que persiguen fortalecer el crecimiento de la economía y el apoyo al tejido productivo asciende a 215.</w:t>
      </w:r>
      <w:r w:rsidR="00425979">
        <w:rPr>
          <w:rStyle w:val="Textoennegrita"/>
          <w:b w:val="0"/>
          <w:color w:val="222222"/>
          <w:lang w:val="es-ES"/>
        </w:rPr>
        <w:t>2</w:t>
      </w:r>
      <w:r w:rsidR="00AE6710">
        <w:rPr>
          <w:rStyle w:val="Textoennegrita"/>
          <w:b w:val="0"/>
          <w:color w:val="222222"/>
          <w:lang w:val="es-ES"/>
        </w:rPr>
        <w:t>00 euros.</w:t>
      </w:r>
    </w:p>
    <w:p w14:paraId="56FD80AC" w14:textId="2E4F3C43" w:rsidR="00F310F7" w:rsidRPr="00242D24" w:rsidRDefault="001563AF" w:rsidP="00F310F7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  <w:r w:rsidRPr="00242D24">
        <w:rPr>
          <w:rStyle w:val="Textoennegrita"/>
          <w:b w:val="0"/>
          <w:iCs/>
          <w:color w:val="222222"/>
          <w:lang w:val="es-ES"/>
        </w:rPr>
        <w:lastRenderedPageBreak/>
        <w:t>En términos relativos, e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l </w:t>
      </w:r>
      <w:r w:rsidR="00AA4C72" w:rsidRPr="00242D24">
        <w:rPr>
          <w:rStyle w:val="Textoennegrita"/>
          <w:b w:val="0"/>
          <w:iCs/>
          <w:color w:val="222222"/>
          <w:lang w:val="es-ES"/>
        </w:rPr>
        <w:t xml:space="preserve">mayor 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peso inversor </w:t>
      </w:r>
      <w:r w:rsidRPr="00242D24">
        <w:rPr>
          <w:rStyle w:val="Textoennegrita"/>
          <w:b w:val="0"/>
          <w:iCs/>
          <w:color w:val="222222"/>
          <w:lang w:val="es-ES"/>
        </w:rPr>
        <w:t>recae en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 Salud (</w:t>
      </w:r>
      <w:r w:rsidRPr="00242D24">
        <w:rPr>
          <w:rStyle w:val="Textoennegrita"/>
          <w:b w:val="0"/>
          <w:iCs/>
          <w:color w:val="222222"/>
          <w:lang w:val="es-ES"/>
        </w:rPr>
        <w:t>26,8</w:t>
      </w:r>
      <w:r w:rsidR="00F310F7" w:rsidRPr="00242D24">
        <w:rPr>
          <w:rStyle w:val="Textoennegrita"/>
          <w:b w:val="0"/>
          <w:color w:val="222222"/>
          <w:lang w:val="es-ES"/>
        </w:rPr>
        <w:t>%),</w:t>
      </w:r>
      <w:r w:rsidR="00AA4C72" w:rsidRPr="00242D24">
        <w:rPr>
          <w:rStyle w:val="Textoennegrita"/>
          <w:b w:val="0"/>
          <w:iCs/>
          <w:color w:val="222222"/>
          <w:lang w:val="es-ES"/>
        </w:rPr>
        <w:t xml:space="preserve"> seguida de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 Cultura (</w:t>
      </w:r>
      <w:r w:rsidRPr="00242D24">
        <w:rPr>
          <w:rStyle w:val="Textoennegrita"/>
          <w:b w:val="0"/>
          <w:iCs/>
          <w:color w:val="222222"/>
          <w:lang w:val="es-ES"/>
        </w:rPr>
        <w:t>1</w:t>
      </w:r>
      <w:r w:rsidR="00793164">
        <w:rPr>
          <w:rStyle w:val="Textoennegrita"/>
          <w:b w:val="0"/>
          <w:iCs/>
          <w:color w:val="222222"/>
          <w:lang w:val="es-ES"/>
        </w:rPr>
        <w:t>6</w:t>
      </w:r>
      <w:r w:rsidRPr="00242D24">
        <w:rPr>
          <w:rStyle w:val="Textoennegrita"/>
          <w:b w:val="0"/>
          <w:iCs/>
          <w:color w:val="222222"/>
          <w:lang w:val="es-ES"/>
        </w:rPr>
        <w:t>,4</w:t>
      </w:r>
      <w:r w:rsidR="00AA4C72" w:rsidRPr="00242D24">
        <w:rPr>
          <w:rStyle w:val="Textoennegrita"/>
          <w:b w:val="0"/>
          <w:iCs/>
          <w:color w:val="222222"/>
          <w:lang w:val="es-ES"/>
        </w:rPr>
        <w:t>%);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 Agricultura (</w:t>
      </w:r>
      <w:r w:rsidRPr="00242D24">
        <w:rPr>
          <w:rStyle w:val="Textoennegrita"/>
          <w:b w:val="0"/>
          <w:iCs/>
          <w:color w:val="222222"/>
          <w:lang w:val="es-ES"/>
        </w:rPr>
        <w:t>14,4%)</w:t>
      </w:r>
      <w:r w:rsidR="00AA4C72" w:rsidRPr="00242D24">
        <w:rPr>
          <w:rStyle w:val="Textoennegrita"/>
          <w:b w:val="0"/>
          <w:iCs/>
          <w:color w:val="222222"/>
          <w:lang w:val="es-ES"/>
        </w:rPr>
        <w:t>;</w:t>
      </w:r>
      <w:r w:rsidRPr="00242D24">
        <w:rPr>
          <w:rStyle w:val="Textoennegrita"/>
          <w:b w:val="0"/>
          <w:iCs/>
          <w:color w:val="222222"/>
          <w:lang w:val="es-ES"/>
        </w:rPr>
        <w:t xml:space="preserve"> Hacienda (12,3%)</w:t>
      </w:r>
      <w:r w:rsidR="00AA4C72" w:rsidRPr="00242D24">
        <w:rPr>
          <w:rStyle w:val="Textoennegrita"/>
          <w:b w:val="0"/>
          <w:iCs/>
          <w:color w:val="222222"/>
          <w:lang w:val="es-ES"/>
        </w:rPr>
        <w:t>;</w:t>
      </w:r>
      <w:r w:rsidRPr="00242D24">
        <w:rPr>
          <w:rStyle w:val="Textoennegrita"/>
          <w:b w:val="0"/>
          <w:iCs/>
          <w:color w:val="222222"/>
          <w:lang w:val="es-ES"/>
        </w:rPr>
        <w:t xml:space="preserve"> Economía (9,1%)</w:t>
      </w:r>
      <w:r w:rsidR="00AA4C72" w:rsidRPr="00242D24">
        <w:rPr>
          <w:rStyle w:val="Textoennegrita"/>
          <w:b w:val="0"/>
          <w:iCs/>
          <w:color w:val="222222"/>
          <w:lang w:val="es-ES"/>
        </w:rPr>
        <w:t>;</w:t>
      </w:r>
      <w:r w:rsidRPr="00242D24">
        <w:rPr>
          <w:rStyle w:val="Textoennegrita"/>
          <w:b w:val="0"/>
          <w:iCs/>
          <w:color w:val="222222"/>
          <w:lang w:val="es-ES"/>
        </w:rPr>
        <w:t xml:space="preserve"> </w:t>
      </w:r>
      <w:r w:rsidR="00F310F7" w:rsidRPr="00242D24">
        <w:rPr>
          <w:rStyle w:val="Textoennegrita"/>
          <w:b w:val="0"/>
          <w:color w:val="222222"/>
          <w:lang w:val="es-ES"/>
        </w:rPr>
        <w:t>Política Local</w:t>
      </w:r>
      <w:r w:rsidRPr="00242D24">
        <w:rPr>
          <w:rStyle w:val="Textoennegrita"/>
          <w:b w:val="0"/>
          <w:iCs/>
          <w:color w:val="222222"/>
          <w:lang w:val="es-ES"/>
        </w:rPr>
        <w:t xml:space="preserve"> y Educación (ambas con el 8,6%) y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 la Oficina del Presidente</w:t>
      </w:r>
      <w:r w:rsidRPr="00242D24">
        <w:rPr>
          <w:rStyle w:val="Textoennegrita"/>
          <w:b w:val="0"/>
          <w:iCs/>
          <w:color w:val="222222"/>
          <w:lang w:val="es-ES"/>
        </w:rPr>
        <w:t xml:space="preserve"> (3,6%)</w:t>
      </w:r>
      <w:r w:rsidR="00F310F7" w:rsidRPr="00242D24">
        <w:rPr>
          <w:rStyle w:val="Textoennegrita"/>
          <w:b w:val="0"/>
          <w:color w:val="222222"/>
          <w:lang w:val="es-ES"/>
        </w:rPr>
        <w:t xml:space="preserve">. </w:t>
      </w:r>
    </w:p>
    <w:p w14:paraId="563E29EA" w14:textId="77777777" w:rsidR="00F310F7" w:rsidRPr="00242D24" w:rsidRDefault="00F310F7" w:rsidP="00F310F7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</w:p>
    <w:p w14:paraId="475850CF" w14:textId="77777777" w:rsidR="00AA4C72" w:rsidRPr="00242D24" w:rsidRDefault="00F310F7" w:rsidP="00AA4C72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242D24">
        <w:rPr>
          <w:rFonts w:eastAsia="Times New Roman"/>
          <w:color w:val="000000"/>
          <w:lang w:val="es-ES" w:eastAsia="es-ES"/>
        </w:rPr>
        <w:t xml:space="preserve">Por número de iniciativas publicitarias, Salud ocupa el primer lugar con </w:t>
      </w:r>
      <w:r w:rsidR="00D866DB" w:rsidRPr="00242D24">
        <w:rPr>
          <w:rFonts w:eastAsia="Times New Roman"/>
          <w:color w:val="000000"/>
          <w:lang w:val="es-ES" w:eastAsia="es-ES"/>
        </w:rPr>
        <w:t>22</w:t>
      </w:r>
      <w:r w:rsidRPr="00242D24">
        <w:rPr>
          <w:rFonts w:eastAsia="Times New Roman"/>
          <w:color w:val="000000"/>
          <w:lang w:val="es-ES" w:eastAsia="es-ES"/>
        </w:rPr>
        <w:t xml:space="preserve"> acciones</w:t>
      </w:r>
      <w:r w:rsidR="00AA4C72" w:rsidRPr="00242D24">
        <w:rPr>
          <w:rFonts w:eastAsia="Times New Roman"/>
          <w:color w:val="000000"/>
          <w:lang w:val="es-ES" w:eastAsia="es-ES"/>
        </w:rPr>
        <w:t>. Le siguen</w:t>
      </w:r>
      <w:r w:rsidRPr="00242D24">
        <w:rPr>
          <w:rFonts w:eastAsia="Times New Roman"/>
          <w:color w:val="000000"/>
          <w:lang w:val="es-ES" w:eastAsia="es-ES"/>
        </w:rPr>
        <w:t xml:space="preserve"> </w:t>
      </w:r>
      <w:r w:rsidR="00D866DB" w:rsidRPr="00242D24">
        <w:rPr>
          <w:rFonts w:eastAsia="Times New Roman"/>
          <w:color w:val="000000"/>
          <w:lang w:val="es-ES" w:eastAsia="es-ES"/>
        </w:rPr>
        <w:t xml:space="preserve">Agricultura (11), </w:t>
      </w:r>
      <w:r w:rsidRPr="00242D24">
        <w:rPr>
          <w:rFonts w:eastAsia="Times New Roman"/>
          <w:color w:val="000000"/>
          <w:lang w:val="es-ES" w:eastAsia="es-ES"/>
        </w:rPr>
        <w:t>Cultura</w:t>
      </w:r>
      <w:r w:rsidR="00D866DB" w:rsidRPr="00242D24">
        <w:rPr>
          <w:rFonts w:eastAsia="Times New Roman"/>
          <w:color w:val="000000"/>
          <w:lang w:val="es-ES" w:eastAsia="es-ES"/>
        </w:rPr>
        <w:t xml:space="preserve"> (10</w:t>
      </w:r>
      <w:r w:rsidRPr="00242D24">
        <w:rPr>
          <w:rFonts w:eastAsia="Times New Roman"/>
          <w:color w:val="000000"/>
          <w:lang w:val="es-ES" w:eastAsia="es-ES"/>
        </w:rPr>
        <w:t xml:space="preserve">), </w:t>
      </w:r>
      <w:r w:rsidR="00D866DB" w:rsidRPr="00242D24">
        <w:rPr>
          <w:rFonts w:eastAsia="Times New Roman"/>
          <w:color w:val="000000"/>
          <w:lang w:val="es-ES" w:eastAsia="es-ES"/>
        </w:rPr>
        <w:t xml:space="preserve">Hacienda (5), </w:t>
      </w:r>
      <w:r w:rsidRPr="00242D24">
        <w:rPr>
          <w:rFonts w:eastAsia="Times New Roman"/>
          <w:color w:val="000000"/>
          <w:lang w:val="es-ES" w:eastAsia="es-ES"/>
        </w:rPr>
        <w:t>Economía y Política Local (</w:t>
      </w:r>
      <w:r w:rsidR="00D866DB" w:rsidRPr="00242D24">
        <w:rPr>
          <w:rFonts w:eastAsia="Times New Roman"/>
          <w:color w:val="000000"/>
          <w:lang w:val="es-ES" w:eastAsia="es-ES"/>
        </w:rPr>
        <w:t>ambas con 4),</w:t>
      </w:r>
      <w:r w:rsidRPr="00242D24">
        <w:rPr>
          <w:rFonts w:eastAsia="Times New Roman"/>
          <w:color w:val="000000"/>
          <w:lang w:val="es-ES" w:eastAsia="es-ES"/>
        </w:rPr>
        <w:t xml:space="preserve"> Educación (</w:t>
      </w:r>
      <w:r w:rsidR="00D866DB" w:rsidRPr="00242D24">
        <w:rPr>
          <w:rFonts w:eastAsia="Times New Roman"/>
          <w:color w:val="000000"/>
          <w:lang w:val="es-ES" w:eastAsia="es-ES"/>
        </w:rPr>
        <w:t>3</w:t>
      </w:r>
      <w:r w:rsidRPr="00242D24">
        <w:rPr>
          <w:rFonts w:eastAsia="Times New Roman"/>
          <w:color w:val="000000"/>
          <w:lang w:val="es-ES" w:eastAsia="es-ES"/>
        </w:rPr>
        <w:t>) y la Oficina del Presidente (1).</w:t>
      </w:r>
    </w:p>
    <w:p w14:paraId="6692EC61" w14:textId="77777777" w:rsidR="00AA4C72" w:rsidRPr="00242D24" w:rsidRDefault="00AA4C72" w:rsidP="00AA4C72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4B20B60E" w14:textId="76F56F6F" w:rsidR="00DE1619" w:rsidRPr="00242D24" w:rsidRDefault="003A2CB8" w:rsidP="00AA4C72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242D24">
        <w:rPr>
          <w:rFonts w:eastAsia="Times New Roman"/>
          <w:color w:val="000000"/>
          <w:lang w:val="es-ES" w:eastAsia="es-ES"/>
        </w:rPr>
        <w:t>Además de las campañas propiamente dichas, el Plan de Publicidad Institucional de 2025 también destina 360.000 euros a patrocinios y 150.000 euros a creatividad (cantidad similar a la dispuesta en el programa de 2024), lo que eleva el montante total de la planificación de este ejercicio a 3.5</w:t>
      </w:r>
      <w:r w:rsidR="00793164">
        <w:rPr>
          <w:rFonts w:eastAsia="Times New Roman"/>
          <w:color w:val="000000"/>
          <w:lang w:val="es-ES" w:eastAsia="es-ES"/>
        </w:rPr>
        <w:t>7</w:t>
      </w:r>
      <w:r w:rsidRPr="00242D24">
        <w:rPr>
          <w:rFonts w:eastAsia="Times New Roman"/>
          <w:color w:val="000000"/>
          <w:lang w:val="es-ES" w:eastAsia="es-ES"/>
        </w:rPr>
        <w:t xml:space="preserve">1.000 euros. </w:t>
      </w:r>
    </w:p>
    <w:p w14:paraId="4193A3E8" w14:textId="0D067032" w:rsidR="00242D24" w:rsidRDefault="00242D24" w:rsidP="00242D24">
      <w:pPr>
        <w:pStyle w:val="CuerpodetextoNotadePrensa"/>
        <w:rPr>
          <w:lang w:val="es-ES"/>
        </w:rPr>
      </w:pPr>
    </w:p>
    <w:p w14:paraId="3226D4DA" w14:textId="3E74FDF9" w:rsidR="00242D24" w:rsidRPr="00242D24" w:rsidRDefault="00242D24" w:rsidP="00242D24">
      <w:pPr>
        <w:pStyle w:val="CuerpodetextoNotadePrensa"/>
        <w:rPr>
          <w:b/>
          <w:lang w:val="es-ES"/>
        </w:rPr>
      </w:pPr>
      <w:r w:rsidRPr="00242D24">
        <w:rPr>
          <w:b/>
          <w:lang w:val="es-ES"/>
        </w:rPr>
        <w:t>Utilidad pública, profesionalización, claridad y lealtad institucional</w:t>
      </w:r>
    </w:p>
    <w:p w14:paraId="5803C921" w14:textId="43060B9C" w:rsidR="00242D24" w:rsidRPr="00242D24" w:rsidRDefault="00242D24" w:rsidP="00242D24">
      <w:pPr>
        <w:pStyle w:val="CuerpodetextoNotadePrensa"/>
        <w:rPr>
          <w:lang w:val="es-ES"/>
        </w:rPr>
      </w:pPr>
      <w:r w:rsidRPr="00242D24">
        <w:rPr>
          <w:lang w:val="es-ES"/>
        </w:rPr>
        <w:t xml:space="preserve">Las acciones previstas, todas ellas pensadas y programadas bajo las premisas de utilidad pública, profesionalización, claridad y lealtad institucional, tienen como propósito informar a la sociedad riojana de las diferentes iniciativas </w:t>
      </w:r>
      <w:r w:rsidRPr="00242D24">
        <w:rPr>
          <w:bCs/>
          <w:lang w:val="es-ES"/>
        </w:rPr>
        <w:t>institucionales, corporativas, culturales, de formación y empleo</w:t>
      </w:r>
      <w:r w:rsidRPr="00242D24">
        <w:rPr>
          <w:b/>
          <w:bCs/>
          <w:lang w:val="es-ES"/>
        </w:rPr>
        <w:t xml:space="preserve"> </w:t>
      </w:r>
      <w:r w:rsidRPr="00242D24">
        <w:rPr>
          <w:lang w:val="es-ES"/>
        </w:rPr>
        <w:t xml:space="preserve">y, de una forma especial </w:t>
      </w:r>
      <w:r w:rsidRPr="00242D24">
        <w:rPr>
          <w:bCs/>
          <w:lang w:val="es-ES"/>
        </w:rPr>
        <w:t>de las iniciativas de servicio público y sociales</w:t>
      </w:r>
      <w:r w:rsidRPr="00242D24">
        <w:rPr>
          <w:lang w:val="es-ES"/>
        </w:rPr>
        <w:t xml:space="preserve">, es decir, de aquellas que buscan </w:t>
      </w:r>
      <w:r w:rsidRPr="00242D24">
        <w:rPr>
          <w:bCs/>
          <w:lang w:val="es-ES"/>
        </w:rPr>
        <w:t>difundir las convocatorias de ayudas y servicios de la Administración autonómica, así como promover la concienciación socia</w:t>
      </w:r>
      <w:r w:rsidRPr="00242D24">
        <w:rPr>
          <w:lang w:val="es-ES"/>
        </w:rPr>
        <w:t xml:space="preserve">l. </w:t>
      </w:r>
    </w:p>
    <w:p w14:paraId="2447ECA1" w14:textId="69FAB80F" w:rsidR="00242D24" w:rsidRDefault="00242D24" w:rsidP="00242D24">
      <w:pPr>
        <w:pStyle w:val="CuerpodetextoNotadePrensa"/>
        <w:rPr>
          <w:lang w:val="es-ES"/>
        </w:rPr>
      </w:pPr>
    </w:p>
    <w:p w14:paraId="481BA89B" w14:textId="3A3750C8" w:rsidR="00242D24" w:rsidRPr="00242D24" w:rsidRDefault="00242D24" w:rsidP="00242D24">
      <w:pPr>
        <w:pStyle w:val="CuerpodetextoNotadePrensa"/>
        <w:rPr>
          <w:lang w:val="es-ES"/>
        </w:rPr>
      </w:pPr>
      <w:r>
        <w:rPr>
          <w:lang w:val="es-ES"/>
        </w:rPr>
        <w:t>Conforme</w:t>
      </w:r>
      <w:r w:rsidRPr="00242D24">
        <w:rPr>
          <w:rStyle w:val="Textoennegrita"/>
          <w:b w:val="0"/>
          <w:color w:val="222222"/>
          <w:lang w:val="es-ES"/>
        </w:rPr>
        <w:t xml:space="preserve"> </w:t>
      </w:r>
      <w:r>
        <w:rPr>
          <w:rStyle w:val="Textoennegrita"/>
          <w:b w:val="0"/>
          <w:color w:val="222222"/>
          <w:lang w:val="es-ES"/>
        </w:rPr>
        <w:t>a</w:t>
      </w:r>
      <w:r w:rsidRPr="00242D24">
        <w:rPr>
          <w:rStyle w:val="Textoennegrita"/>
          <w:b w:val="0"/>
          <w:color w:val="222222"/>
          <w:lang w:val="es-ES"/>
        </w:rPr>
        <w:t xml:space="preserve"> la legislación vigente</w:t>
      </w:r>
      <w:r w:rsidRPr="00242D24">
        <w:rPr>
          <w:rStyle w:val="Textoennegrita"/>
          <w:color w:val="222222"/>
          <w:lang w:val="es-ES"/>
        </w:rPr>
        <w:t>,</w:t>
      </w:r>
      <w:r w:rsidRPr="00242D24">
        <w:rPr>
          <w:rStyle w:val="nfasis"/>
          <w:i w:val="0"/>
          <w:color w:val="222222"/>
          <w:lang w:val="es-ES"/>
        </w:rPr>
        <w:t xml:space="preserve"> </w:t>
      </w:r>
      <w:r>
        <w:rPr>
          <w:rStyle w:val="nfasis"/>
          <w:i w:val="0"/>
          <w:color w:val="222222"/>
          <w:lang w:val="es-ES"/>
        </w:rPr>
        <w:t xml:space="preserve">el PPI 2025 </w:t>
      </w:r>
      <w:r w:rsidR="005874C0">
        <w:rPr>
          <w:rStyle w:val="nfasis"/>
          <w:i w:val="0"/>
          <w:color w:val="222222"/>
          <w:lang w:val="es-ES"/>
        </w:rPr>
        <w:t xml:space="preserve">(la información de cada actividad se recoge en una detallada ficha) </w:t>
      </w:r>
      <w:r w:rsidRPr="00242D24">
        <w:rPr>
          <w:rStyle w:val="nfasis"/>
          <w:i w:val="0"/>
          <w:color w:val="222222"/>
          <w:lang w:val="es-ES"/>
        </w:rPr>
        <w:t xml:space="preserve">podrá ser consultado en la web del Gobierno de La Rioja, en su apartado de publicidad institucional </w:t>
      </w:r>
      <w:hyperlink r:id="rId7" w:history="1">
        <w:r w:rsidRPr="00242D24">
          <w:rPr>
            <w:rStyle w:val="Hipervnculo"/>
            <w:lang w:val="es-ES"/>
          </w:rPr>
          <w:t>https://www.larioja.org/publicidad</w:t>
        </w:r>
      </w:hyperlink>
      <w:r w:rsidRPr="00242D24">
        <w:rPr>
          <w:rStyle w:val="nfasis"/>
          <w:i w:val="0"/>
          <w:color w:val="222222"/>
          <w:lang w:val="es-ES"/>
        </w:rPr>
        <w:t xml:space="preserve">, una vez sea remitido </w:t>
      </w:r>
      <w:r w:rsidRPr="00242D24">
        <w:rPr>
          <w:lang w:val="es-ES"/>
        </w:rPr>
        <w:t xml:space="preserve">al Parlamento de La Rioja para el conocimiento de los diputados. En este sentido, el consejero de Hacienda, Gobernanza Pública, Sociedad Digital y </w:t>
      </w:r>
      <w:proofErr w:type="spellStart"/>
      <w:r w:rsidRPr="00242D24">
        <w:rPr>
          <w:lang w:val="es-ES"/>
        </w:rPr>
        <w:t>Portavocía</w:t>
      </w:r>
      <w:proofErr w:type="spellEnd"/>
      <w:r w:rsidRPr="00242D24">
        <w:rPr>
          <w:lang w:val="es-ES"/>
        </w:rPr>
        <w:t>, Alfonso Domínguez,</w:t>
      </w:r>
      <w:r w:rsidR="005874C0">
        <w:rPr>
          <w:lang w:val="es-ES"/>
        </w:rPr>
        <w:t xml:space="preserve"> </w:t>
      </w:r>
      <w:r w:rsidR="00BE56F8">
        <w:rPr>
          <w:lang w:val="es-ES"/>
        </w:rPr>
        <w:t>ha solicitado</w:t>
      </w:r>
      <w:bookmarkStart w:id="2" w:name="_GoBack"/>
      <w:bookmarkEnd w:id="2"/>
      <w:r w:rsidR="00C474AD">
        <w:rPr>
          <w:lang w:val="es-ES"/>
        </w:rPr>
        <w:t xml:space="preserve"> hoy mismo</w:t>
      </w:r>
      <w:r w:rsidRPr="00242D24">
        <w:rPr>
          <w:lang w:val="es-ES"/>
        </w:rPr>
        <w:t xml:space="preserve"> su comparecencia ante la Comisión Institucional de Desarrollo Estatutario y de Régimen de la Administración Pública para explicar en detalle el contenido del Plan. </w:t>
      </w:r>
    </w:p>
    <w:p w14:paraId="5274061F" w14:textId="77777777" w:rsidR="00242D24" w:rsidRPr="00242D24" w:rsidRDefault="00242D24" w:rsidP="00242D24">
      <w:pPr>
        <w:pStyle w:val="CuerpodetextoNotadePrensa"/>
        <w:rPr>
          <w:lang w:val="es-ES"/>
        </w:rPr>
      </w:pPr>
    </w:p>
    <w:p w14:paraId="199B7CC4" w14:textId="77777777" w:rsidR="00242D24" w:rsidRPr="00242D24" w:rsidRDefault="00242D24" w:rsidP="00242D24">
      <w:pPr>
        <w:pStyle w:val="CuerpodetextoNotadePrensa"/>
        <w:rPr>
          <w:rStyle w:val="nfasis"/>
          <w:i w:val="0"/>
          <w:color w:val="222222"/>
          <w:lang w:val="es-ES"/>
        </w:rPr>
      </w:pPr>
    </w:p>
    <w:p w14:paraId="27ABD5DC" w14:textId="77777777" w:rsidR="00261510" w:rsidRPr="00242D24" w:rsidRDefault="00261510" w:rsidP="00242D24">
      <w:pPr>
        <w:pStyle w:val="CuerpodetextoNotadePrensa"/>
        <w:rPr>
          <w:lang w:val="es-ES"/>
        </w:rPr>
      </w:pPr>
    </w:p>
    <w:sectPr w:rsidR="00261510" w:rsidRPr="00242D24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E2D1F"/>
    <w:rsid w:val="000F3F3C"/>
    <w:rsid w:val="00100590"/>
    <w:rsid w:val="001037A5"/>
    <w:rsid w:val="00135464"/>
    <w:rsid w:val="001542F7"/>
    <w:rsid w:val="001563AF"/>
    <w:rsid w:val="0018459D"/>
    <w:rsid w:val="00195B6E"/>
    <w:rsid w:val="001D5774"/>
    <w:rsid w:val="0020207D"/>
    <w:rsid w:val="00240D3F"/>
    <w:rsid w:val="00242D24"/>
    <w:rsid w:val="00250CDB"/>
    <w:rsid w:val="00255B4D"/>
    <w:rsid w:val="00261510"/>
    <w:rsid w:val="002659CC"/>
    <w:rsid w:val="002873D9"/>
    <w:rsid w:val="002C41E9"/>
    <w:rsid w:val="002C5DF7"/>
    <w:rsid w:val="002D3B2D"/>
    <w:rsid w:val="002E4839"/>
    <w:rsid w:val="002E72EE"/>
    <w:rsid w:val="00307CD0"/>
    <w:rsid w:val="00310FE0"/>
    <w:rsid w:val="003364A2"/>
    <w:rsid w:val="0034365A"/>
    <w:rsid w:val="00346ABB"/>
    <w:rsid w:val="0035439E"/>
    <w:rsid w:val="0039046B"/>
    <w:rsid w:val="003A2CB8"/>
    <w:rsid w:val="003A3E60"/>
    <w:rsid w:val="003C1605"/>
    <w:rsid w:val="00417179"/>
    <w:rsid w:val="00425979"/>
    <w:rsid w:val="00435C9E"/>
    <w:rsid w:val="0047552C"/>
    <w:rsid w:val="00477863"/>
    <w:rsid w:val="00485D8C"/>
    <w:rsid w:val="00493AC4"/>
    <w:rsid w:val="00495B58"/>
    <w:rsid w:val="00495D1F"/>
    <w:rsid w:val="004D420D"/>
    <w:rsid w:val="004D594F"/>
    <w:rsid w:val="0050645C"/>
    <w:rsid w:val="00574433"/>
    <w:rsid w:val="0058176E"/>
    <w:rsid w:val="005874C0"/>
    <w:rsid w:val="00596975"/>
    <w:rsid w:val="00597247"/>
    <w:rsid w:val="005C76AF"/>
    <w:rsid w:val="006538FC"/>
    <w:rsid w:val="006563C4"/>
    <w:rsid w:val="0066158E"/>
    <w:rsid w:val="00673FFA"/>
    <w:rsid w:val="00674EF3"/>
    <w:rsid w:val="006770E5"/>
    <w:rsid w:val="0069392B"/>
    <w:rsid w:val="006A7DBC"/>
    <w:rsid w:val="006B0802"/>
    <w:rsid w:val="00706970"/>
    <w:rsid w:val="00716285"/>
    <w:rsid w:val="00777D44"/>
    <w:rsid w:val="00793164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375C8"/>
    <w:rsid w:val="00A6238F"/>
    <w:rsid w:val="00A756FA"/>
    <w:rsid w:val="00AA0B41"/>
    <w:rsid w:val="00AA4C72"/>
    <w:rsid w:val="00AC6E30"/>
    <w:rsid w:val="00AE6710"/>
    <w:rsid w:val="00B77C5C"/>
    <w:rsid w:val="00B93DBC"/>
    <w:rsid w:val="00B97FCD"/>
    <w:rsid w:val="00BA5D06"/>
    <w:rsid w:val="00BE56F8"/>
    <w:rsid w:val="00BE70B2"/>
    <w:rsid w:val="00C05A43"/>
    <w:rsid w:val="00C22F34"/>
    <w:rsid w:val="00C474AD"/>
    <w:rsid w:val="00C648E7"/>
    <w:rsid w:val="00C83CF8"/>
    <w:rsid w:val="00CC08D8"/>
    <w:rsid w:val="00CD27A5"/>
    <w:rsid w:val="00D017AC"/>
    <w:rsid w:val="00D312AD"/>
    <w:rsid w:val="00D53E08"/>
    <w:rsid w:val="00D72680"/>
    <w:rsid w:val="00D85F02"/>
    <w:rsid w:val="00D866DB"/>
    <w:rsid w:val="00DD0856"/>
    <w:rsid w:val="00DE1619"/>
    <w:rsid w:val="00E41609"/>
    <w:rsid w:val="00E517E4"/>
    <w:rsid w:val="00E52A6E"/>
    <w:rsid w:val="00E63FE9"/>
    <w:rsid w:val="00EA2343"/>
    <w:rsid w:val="00ED47D0"/>
    <w:rsid w:val="00F310F7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76AF"/>
    <w:rPr>
      <w:b/>
      <w:bCs/>
    </w:rPr>
  </w:style>
  <w:style w:type="character" w:styleId="nfasis">
    <w:name w:val="Emphasis"/>
    <w:basedOn w:val="Fuentedeprrafopredeter"/>
    <w:uiPriority w:val="20"/>
    <w:qFormat/>
    <w:rsid w:val="00242D2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4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rioja.org/publicida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32</cp:revision>
  <cp:lastPrinted>2024-12-27T17:54:00Z</cp:lastPrinted>
  <dcterms:created xsi:type="dcterms:W3CDTF">2024-12-26T10:54:00Z</dcterms:created>
  <dcterms:modified xsi:type="dcterms:W3CDTF">2025-01-08T09:39:00Z</dcterms:modified>
</cp:coreProperties>
</file>