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9B154" w14:textId="5E17A2E2" w:rsidR="00B41515" w:rsidRPr="00B41515" w:rsidRDefault="00AE6913" w:rsidP="00B41515">
      <w:pPr>
        <w:jc w:val="both"/>
        <w:rPr>
          <w:rFonts w:ascii="Arial" w:eastAsia="Times New Roman" w:hAnsi="Arial" w:cs="Arial"/>
          <w:b/>
          <w:sz w:val="26"/>
          <w:szCs w:val="26"/>
          <w:lang w:eastAsia="es-ES"/>
        </w:rPr>
      </w:pPr>
      <w:r>
        <w:rPr>
          <w:rFonts w:ascii="Arial" w:eastAsia="Times New Roman" w:hAnsi="Arial" w:cs="Arial"/>
          <w:b/>
          <w:sz w:val="26"/>
          <w:szCs w:val="26"/>
          <w:lang w:eastAsia="es-ES"/>
        </w:rPr>
        <w:t>Miércoles 08</w:t>
      </w:r>
      <w:r w:rsidR="00B41515" w:rsidRPr="00B41515">
        <w:rPr>
          <w:rFonts w:ascii="Arial" w:eastAsia="Times New Roman" w:hAnsi="Arial" w:cs="Arial"/>
          <w:b/>
          <w:sz w:val="26"/>
          <w:szCs w:val="26"/>
          <w:lang w:eastAsia="es-ES"/>
        </w:rPr>
        <w:t>/0</w:t>
      </w:r>
      <w:r>
        <w:rPr>
          <w:rFonts w:ascii="Arial" w:eastAsia="Times New Roman" w:hAnsi="Arial" w:cs="Arial"/>
          <w:b/>
          <w:sz w:val="26"/>
          <w:szCs w:val="26"/>
          <w:lang w:eastAsia="es-ES"/>
        </w:rPr>
        <w:t>1</w:t>
      </w:r>
      <w:r w:rsidR="00B41515" w:rsidRPr="00B41515">
        <w:rPr>
          <w:rFonts w:ascii="Arial" w:eastAsia="Times New Roman" w:hAnsi="Arial" w:cs="Arial"/>
          <w:b/>
          <w:sz w:val="26"/>
          <w:szCs w:val="26"/>
          <w:lang w:eastAsia="es-ES"/>
        </w:rPr>
        <w:t>/2</w:t>
      </w:r>
      <w:r>
        <w:rPr>
          <w:rFonts w:ascii="Arial" w:eastAsia="Times New Roman" w:hAnsi="Arial" w:cs="Arial"/>
          <w:b/>
          <w:sz w:val="26"/>
          <w:szCs w:val="26"/>
          <w:lang w:eastAsia="es-ES"/>
        </w:rPr>
        <w:t>5</w:t>
      </w:r>
    </w:p>
    <w:p w14:paraId="2114B869" w14:textId="77777777" w:rsidR="00B41515" w:rsidRPr="00B41515" w:rsidRDefault="00B41515" w:rsidP="00B41515">
      <w:pPr>
        <w:jc w:val="both"/>
        <w:rPr>
          <w:rFonts w:ascii="Arial" w:eastAsia="Times New Roman" w:hAnsi="Arial" w:cs="Arial"/>
          <w:b/>
          <w:lang w:eastAsia="es-ES"/>
        </w:rPr>
      </w:pPr>
    </w:p>
    <w:p w14:paraId="6565F36A" w14:textId="404F3BB9" w:rsidR="00A81FF3" w:rsidRDefault="00A81FF3" w:rsidP="00837531">
      <w:pPr>
        <w:pStyle w:val="TtuloNotadePrensa"/>
        <w:jc w:val="both"/>
      </w:pPr>
      <w:r>
        <w:t xml:space="preserve">La Comunidad concluye </w:t>
      </w:r>
      <w:r w:rsidRPr="00985CB5">
        <w:t xml:space="preserve">los procesos de estabilización de empleo </w:t>
      </w:r>
      <w:r>
        <w:t xml:space="preserve">público </w:t>
      </w:r>
      <w:r w:rsidRPr="00985CB5">
        <w:t xml:space="preserve">temporal </w:t>
      </w:r>
      <w:r w:rsidRPr="0012360A">
        <w:t>antes de</w:t>
      </w:r>
      <w:r>
        <w:t xml:space="preserve"> finalizar el plazo legal establecido</w:t>
      </w:r>
    </w:p>
    <w:p w14:paraId="3EA71B8A" w14:textId="77777777" w:rsidR="00B41515" w:rsidRPr="00B41515" w:rsidRDefault="00B41515" w:rsidP="00837531">
      <w:pPr>
        <w:jc w:val="both"/>
        <w:rPr>
          <w:rFonts w:ascii="Arial" w:eastAsia="Times New Roman" w:hAnsi="Arial" w:cs="Arial"/>
          <w:b/>
          <w:lang w:eastAsia="es-ES"/>
        </w:rPr>
      </w:pPr>
    </w:p>
    <w:p w14:paraId="73F10898" w14:textId="16129295" w:rsidR="00837531" w:rsidRPr="00985CB5" w:rsidRDefault="00837531" w:rsidP="00837531">
      <w:pPr>
        <w:pStyle w:val="TtuloNotadePren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total de 2.291 plazas de SERIS, docentes no universitarios, Administración General, </w:t>
      </w:r>
      <w:r w:rsidR="00C46BB1">
        <w:rPr>
          <w:sz w:val="24"/>
          <w:szCs w:val="24"/>
        </w:rPr>
        <w:t>Justicia y U</w:t>
      </w:r>
      <w:r>
        <w:rPr>
          <w:sz w:val="24"/>
          <w:szCs w:val="24"/>
        </w:rPr>
        <w:t>niversidad</w:t>
      </w:r>
      <w:r w:rsidR="00C46BB1">
        <w:rPr>
          <w:sz w:val="24"/>
          <w:szCs w:val="24"/>
        </w:rPr>
        <w:t xml:space="preserve"> </w:t>
      </w:r>
      <w:r w:rsidR="00933B0C">
        <w:rPr>
          <w:sz w:val="24"/>
          <w:szCs w:val="24"/>
        </w:rPr>
        <w:t>se han convertido en indefinida</w:t>
      </w:r>
      <w:r w:rsidR="00D93B1A">
        <w:rPr>
          <w:sz w:val="24"/>
          <w:szCs w:val="24"/>
        </w:rPr>
        <w:t>s</w:t>
      </w:r>
      <w:r w:rsidR="00933B0C">
        <w:rPr>
          <w:sz w:val="24"/>
          <w:szCs w:val="24"/>
        </w:rPr>
        <w:t>, con vinculación permanente,</w:t>
      </w:r>
      <w:r>
        <w:rPr>
          <w:sz w:val="24"/>
          <w:szCs w:val="24"/>
        </w:rPr>
        <w:t xml:space="preserve"> una vez </w:t>
      </w:r>
      <w:r w:rsidR="00774BBE">
        <w:rPr>
          <w:sz w:val="24"/>
          <w:szCs w:val="24"/>
        </w:rPr>
        <w:t>concluida</w:t>
      </w:r>
      <w:r>
        <w:rPr>
          <w:sz w:val="24"/>
          <w:szCs w:val="24"/>
        </w:rPr>
        <w:t xml:space="preserve"> </w:t>
      </w:r>
      <w:r w:rsidR="00933B0C">
        <w:rPr>
          <w:sz w:val="24"/>
          <w:szCs w:val="24"/>
        </w:rPr>
        <w:t>su</w:t>
      </w:r>
      <w:r>
        <w:rPr>
          <w:sz w:val="24"/>
          <w:szCs w:val="24"/>
        </w:rPr>
        <w:t xml:space="preserve"> consolidación </w:t>
      </w:r>
    </w:p>
    <w:p w14:paraId="25DAFCA4" w14:textId="77777777" w:rsidR="00B41515" w:rsidRPr="00B41515" w:rsidRDefault="00B41515" w:rsidP="00B41515">
      <w:pPr>
        <w:spacing w:line="28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376B5694" w14:textId="0C5DBC9A" w:rsidR="00B32CAB" w:rsidRPr="00CF33C0" w:rsidRDefault="00B41515" w:rsidP="00B32CAB">
      <w:pPr>
        <w:pStyle w:val="CuerpodetextoNotadePrensa"/>
        <w:rPr>
          <w:lang w:val="es-ES" w:eastAsia="es-ES"/>
        </w:rPr>
      </w:pPr>
      <w:r w:rsidRPr="00CF33C0">
        <w:rPr>
          <w:lang w:val="es-ES" w:eastAsia="es-ES"/>
        </w:rPr>
        <w:t xml:space="preserve">El Consejo de Gobierno </w:t>
      </w:r>
      <w:r w:rsidR="00B32CAB">
        <w:rPr>
          <w:lang w:val="es-ES" w:eastAsia="es-ES"/>
        </w:rPr>
        <w:t>ha analizado en su re</w:t>
      </w:r>
      <w:r w:rsidRPr="00CF33C0">
        <w:rPr>
          <w:lang w:val="es-ES" w:eastAsia="es-ES"/>
        </w:rPr>
        <w:t xml:space="preserve">unión de hoy, </w:t>
      </w:r>
      <w:r w:rsidR="00B32CAB">
        <w:rPr>
          <w:lang w:val="es-ES" w:eastAsia="es-ES"/>
        </w:rPr>
        <w:t>8 de enero</w:t>
      </w:r>
      <w:r w:rsidRPr="00CF33C0">
        <w:rPr>
          <w:lang w:val="es-ES" w:eastAsia="es-ES"/>
        </w:rPr>
        <w:t xml:space="preserve">, </w:t>
      </w:r>
      <w:r w:rsidR="00B32CAB">
        <w:rPr>
          <w:lang w:val="es-ES" w:eastAsia="es-ES"/>
        </w:rPr>
        <w:t>el resultado de los diferentes procesos de estabilización de empleo público temporal</w:t>
      </w:r>
      <w:r w:rsidR="00774BBE">
        <w:rPr>
          <w:lang w:val="es-ES" w:eastAsia="es-ES"/>
        </w:rPr>
        <w:t xml:space="preserve"> llevado a cabo por la Comunidad Autónoma, </w:t>
      </w:r>
      <w:r w:rsidR="00EC5C5A" w:rsidRPr="009020AE">
        <w:rPr>
          <w:lang w:val="es-ES"/>
        </w:rPr>
        <w:t xml:space="preserve">derivados de la Ley 20/2021, de 28 de diciembre, </w:t>
      </w:r>
      <w:r w:rsidR="00EC5C5A">
        <w:rPr>
          <w:lang w:val="es-ES" w:eastAsia="es-ES"/>
        </w:rPr>
        <w:t xml:space="preserve">que establecía el 31 de diciembre como plazo máximo legal para completarlos. </w:t>
      </w:r>
      <w:r w:rsidR="00B32CAB">
        <w:rPr>
          <w:lang w:val="es-ES" w:eastAsia="es-ES"/>
        </w:rPr>
        <w:t>En total, 2.291 plazas de SERIS, docentes no universitarios,</w:t>
      </w:r>
      <w:r w:rsidR="00774BBE">
        <w:rPr>
          <w:lang w:val="es-ES" w:eastAsia="es-ES"/>
        </w:rPr>
        <w:t xml:space="preserve"> Administración General, </w:t>
      </w:r>
      <w:r w:rsidR="00B32CAB">
        <w:rPr>
          <w:lang w:val="es-ES" w:eastAsia="es-ES"/>
        </w:rPr>
        <w:t xml:space="preserve">Justicia </w:t>
      </w:r>
      <w:r w:rsidR="00774BBE">
        <w:rPr>
          <w:lang w:val="es-ES" w:eastAsia="es-ES"/>
        </w:rPr>
        <w:t xml:space="preserve">y Universidad de La Rioja </w:t>
      </w:r>
      <w:r w:rsidR="00B32CAB">
        <w:rPr>
          <w:lang w:val="es-ES" w:eastAsia="es-ES"/>
        </w:rPr>
        <w:t xml:space="preserve">se </w:t>
      </w:r>
      <w:r w:rsidR="00EC5C5A">
        <w:rPr>
          <w:lang w:val="es-ES" w:eastAsia="es-ES"/>
        </w:rPr>
        <w:t>han</w:t>
      </w:r>
      <w:r w:rsidR="00B32CAB">
        <w:rPr>
          <w:lang w:val="es-ES" w:eastAsia="es-ES"/>
        </w:rPr>
        <w:t xml:space="preserve"> convertido en indefinidas, lo que reduce</w:t>
      </w:r>
      <w:r w:rsidR="00B32CAB" w:rsidRPr="00CF33C0">
        <w:rPr>
          <w:lang w:val="es-ES" w:eastAsia="es-ES"/>
        </w:rPr>
        <w:t xml:space="preserve"> la </w:t>
      </w:r>
      <w:r w:rsidR="00774BBE">
        <w:rPr>
          <w:lang w:val="es-ES" w:eastAsia="es-ES"/>
        </w:rPr>
        <w:t xml:space="preserve">tasa de </w:t>
      </w:r>
      <w:r w:rsidR="00B32CAB" w:rsidRPr="00CF33C0">
        <w:rPr>
          <w:lang w:val="es-ES" w:eastAsia="es-ES"/>
        </w:rPr>
        <w:t xml:space="preserve">temporalidad </w:t>
      </w:r>
      <w:r w:rsidR="001D564C">
        <w:rPr>
          <w:lang w:val="es-ES" w:eastAsia="es-ES"/>
        </w:rPr>
        <w:t xml:space="preserve">laboral </w:t>
      </w:r>
      <w:r w:rsidR="00B32CAB" w:rsidRPr="00CF33C0">
        <w:rPr>
          <w:lang w:val="es-ES" w:eastAsia="es-ES"/>
        </w:rPr>
        <w:t>hasta el entorno del 8%</w:t>
      </w:r>
      <w:r w:rsidR="00774BBE">
        <w:rPr>
          <w:lang w:val="es-ES" w:eastAsia="es-ES"/>
        </w:rPr>
        <w:t>, si bien</w:t>
      </w:r>
      <w:r w:rsidR="00B32CAB" w:rsidRPr="00CF33C0">
        <w:rPr>
          <w:lang w:val="es-ES" w:eastAsia="es-ES"/>
        </w:rPr>
        <w:t xml:space="preserve"> la meta de</w:t>
      </w:r>
      <w:r w:rsidR="00774BBE">
        <w:rPr>
          <w:lang w:val="es-ES" w:eastAsia="es-ES"/>
        </w:rPr>
        <w:t>l Ejecutivo regional es</w:t>
      </w:r>
      <w:r w:rsidR="00B32CAB" w:rsidRPr="00CF33C0">
        <w:rPr>
          <w:lang w:val="es-ES" w:eastAsia="es-ES"/>
        </w:rPr>
        <w:t xml:space="preserve"> seguir avanzando y reducir est</w:t>
      </w:r>
      <w:r w:rsidR="00774BBE">
        <w:rPr>
          <w:lang w:val="es-ES" w:eastAsia="es-ES"/>
        </w:rPr>
        <w:t>e porcentaje</w:t>
      </w:r>
      <w:r w:rsidR="00B32CAB">
        <w:rPr>
          <w:lang w:val="es-ES" w:eastAsia="es-ES"/>
        </w:rPr>
        <w:t xml:space="preserve"> hasta llegar </w:t>
      </w:r>
      <w:r w:rsidR="00774BBE">
        <w:rPr>
          <w:lang w:val="es-ES" w:eastAsia="es-ES"/>
        </w:rPr>
        <w:t xml:space="preserve">al </w:t>
      </w:r>
      <w:r w:rsidR="00B32CAB">
        <w:rPr>
          <w:lang w:val="es-ES" w:eastAsia="es-ES"/>
        </w:rPr>
        <w:t>1%</w:t>
      </w:r>
      <w:r w:rsidR="00B32CAB" w:rsidRPr="00CF33C0">
        <w:rPr>
          <w:lang w:val="es-ES" w:eastAsia="es-ES"/>
        </w:rPr>
        <w:t>.</w:t>
      </w:r>
      <w:r w:rsidR="00EC5C5A">
        <w:rPr>
          <w:lang w:val="es-ES" w:eastAsia="es-ES"/>
        </w:rPr>
        <w:t xml:space="preserve"> </w:t>
      </w:r>
    </w:p>
    <w:p w14:paraId="512B1ABB" w14:textId="4987B1C6" w:rsidR="00B41515" w:rsidRPr="00CF33C0" w:rsidRDefault="00B32CAB" w:rsidP="00CF33C0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 xml:space="preserve"> </w:t>
      </w:r>
    </w:p>
    <w:p w14:paraId="04DB5389" w14:textId="713AC352" w:rsidR="00E57DF5" w:rsidRDefault="00B41515" w:rsidP="00EC5C5A">
      <w:pPr>
        <w:pStyle w:val="CuerpodetextoNotadePrensa"/>
        <w:rPr>
          <w:lang w:val="es-ES"/>
        </w:rPr>
      </w:pPr>
      <w:r w:rsidRPr="00CF33C0">
        <w:rPr>
          <w:lang w:val="es-ES" w:eastAsia="es-ES"/>
        </w:rPr>
        <w:t xml:space="preserve">En el caso del SERIS, </w:t>
      </w:r>
      <w:r w:rsidR="00EC5C5A" w:rsidRPr="0012360A">
        <w:rPr>
          <w:lang w:val="es-ES"/>
        </w:rPr>
        <w:t>478 profesionales con contratos temporales han pasado a ser personal fijo</w:t>
      </w:r>
      <w:r w:rsidR="00EC5C5A">
        <w:rPr>
          <w:lang w:val="es-ES"/>
        </w:rPr>
        <w:t xml:space="preserve"> con los procesos de estabilización derivados de la Ley, a los que suman otros 462 que, </w:t>
      </w:r>
      <w:r w:rsidR="00E655ED">
        <w:rPr>
          <w:lang w:val="es-ES"/>
        </w:rPr>
        <w:t xml:space="preserve">en otro proceso selectivo procedente de </w:t>
      </w:r>
      <w:r w:rsidR="00E655ED" w:rsidRPr="009020AE">
        <w:rPr>
          <w:lang w:val="es-ES"/>
        </w:rPr>
        <w:t>la Ley de Presupuestos del Estado de 2017</w:t>
      </w:r>
      <w:r w:rsidR="00E655ED">
        <w:rPr>
          <w:lang w:val="es-ES"/>
        </w:rPr>
        <w:t xml:space="preserve">, </w:t>
      </w:r>
      <w:r w:rsidR="00EC5C5A">
        <w:rPr>
          <w:lang w:val="es-ES"/>
        </w:rPr>
        <w:t>ya han pasad</w:t>
      </w:r>
      <w:r w:rsidR="0079280F">
        <w:rPr>
          <w:lang w:val="es-ES"/>
        </w:rPr>
        <w:t>o antes del 31 de diciembre pasado</w:t>
      </w:r>
      <w:r w:rsidR="00E655ED">
        <w:rPr>
          <w:lang w:val="es-ES"/>
        </w:rPr>
        <w:t xml:space="preserve"> </w:t>
      </w:r>
      <w:r w:rsidR="00EC5C5A">
        <w:rPr>
          <w:lang w:val="es-ES"/>
        </w:rPr>
        <w:t>a ser</w:t>
      </w:r>
      <w:r w:rsidR="00EC5C5A" w:rsidRPr="00CF33C0">
        <w:rPr>
          <w:lang w:val="es-ES" w:eastAsia="es-ES"/>
        </w:rPr>
        <w:t xml:space="preserve"> personal con vinculo permanente</w:t>
      </w:r>
      <w:r w:rsidR="00EC5C5A">
        <w:rPr>
          <w:lang w:val="es-ES" w:eastAsia="es-ES"/>
        </w:rPr>
        <w:t>.</w:t>
      </w:r>
      <w:r w:rsidR="00E655ED">
        <w:rPr>
          <w:lang w:val="es-ES" w:eastAsia="es-ES"/>
        </w:rPr>
        <w:t xml:space="preserve"> </w:t>
      </w:r>
      <w:r w:rsidR="00C46BB1">
        <w:rPr>
          <w:lang w:val="es-ES" w:eastAsia="es-ES"/>
        </w:rPr>
        <w:t>A este colectivo, y por volumen de plazas movilizadas, le siguen el de los docentes no universitarios (635), Administración General (554), Justicia (91) y Universidad de La Rioja (69).</w:t>
      </w:r>
      <w:r w:rsidR="00E57DF5">
        <w:rPr>
          <w:lang w:val="es-ES" w:eastAsia="es-ES"/>
        </w:rPr>
        <w:t xml:space="preserve"> De las 2.291 plazas convocadas, </w:t>
      </w:r>
      <w:r w:rsidR="00E57DF5" w:rsidRPr="0079280F">
        <w:rPr>
          <w:lang w:val="es-ES" w:eastAsia="es-ES"/>
        </w:rPr>
        <w:t>1.858 ya están cubiertas y el resto lo irá haciendo de forma escalonada en las próximas semanas.</w:t>
      </w:r>
    </w:p>
    <w:p w14:paraId="37C32EBB" w14:textId="77777777" w:rsidR="00EC5C5A" w:rsidRDefault="00EC5C5A" w:rsidP="00CF33C0">
      <w:pPr>
        <w:pStyle w:val="CuerpodetextoNotadePrensa"/>
        <w:rPr>
          <w:lang w:val="es-ES" w:eastAsia="es-ES"/>
        </w:rPr>
      </w:pPr>
    </w:p>
    <w:p w14:paraId="0918621C" w14:textId="67D5EDB0" w:rsidR="00E655ED" w:rsidRDefault="00E655ED" w:rsidP="00CF33C0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 xml:space="preserve">El Consejo de Gobierno ha reconocido la labor realizada por los trabajadores de la Dirección General de Función Pública ya que, gracias a su profesionalidad y esfuerzo, han facilitado el desarrollo de la elevada cifra de procesos selectivos. Solo en </w:t>
      </w:r>
      <w:r w:rsidR="001D564C">
        <w:rPr>
          <w:lang w:val="es-ES" w:eastAsia="es-ES"/>
        </w:rPr>
        <w:t xml:space="preserve">el caso de la </w:t>
      </w:r>
      <w:r>
        <w:rPr>
          <w:lang w:val="es-ES" w:eastAsia="es-ES"/>
        </w:rPr>
        <w:t>Administración General han sido 104 concursos y 28 concursos-oposición</w:t>
      </w:r>
      <w:r w:rsidR="0099696E">
        <w:rPr>
          <w:lang w:val="es-ES" w:eastAsia="es-ES"/>
        </w:rPr>
        <w:t xml:space="preserve"> </w:t>
      </w:r>
      <w:r w:rsidR="008031F9">
        <w:rPr>
          <w:lang w:val="es-ES" w:eastAsia="es-ES"/>
        </w:rPr>
        <w:t>correspondientes a</w:t>
      </w:r>
      <w:r w:rsidR="0099696E">
        <w:rPr>
          <w:lang w:val="es-ES" w:eastAsia="es-ES"/>
        </w:rPr>
        <w:t>l plan de estabilización</w:t>
      </w:r>
      <w:r w:rsidR="001D564C">
        <w:rPr>
          <w:lang w:val="es-ES" w:eastAsia="es-ES"/>
        </w:rPr>
        <w:t>,</w:t>
      </w:r>
      <w:r w:rsidR="004358A8">
        <w:rPr>
          <w:lang w:val="es-ES" w:eastAsia="es-ES"/>
        </w:rPr>
        <w:t xml:space="preserve"> </w:t>
      </w:r>
      <w:r w:rsidR="004358A8" w:rsidRPr="00CF33C0">
        <w:rPr>
          <w:lang w:val="es-ES" w:eastAsia="es-ES"/>
        </w:rPr>
        <w:t>cumpliendo los principios de igualdad, mérito y capacidad</w:t>
      </w:r>
      <w:r w:rsidR="001D564C">
        <w:rPr>
          <w:lang w:val="es-ES" w:eastAsia="es-ES"/>
        </w:rPr>
        <w:t>,</w:t>
      </w:r>
      <w:r w:rsidR="004358A8">
        <w:rPr>
          <w:lang w:val="es-ES" w:eastAsia="es-ES"/>
        </w:rPr>
        <w:t xml:space="preserve"> </w:t>
      </w:r>
      <w:r w:rsidR="0099696E">
        <w:rPr>
          <w:lang w:val="es-ES" w:eastAsia="es-ES"/>
        </w:rPr>
        <w:t xml:space="preserve">y, además, se han tramitado 50 procesos de la OEP (Oferta de Empleo Público) de 2021; 4 de la OEP 2022 y 7 de la OEP 2023. </w:t>
      </w:r>
    </w:p>
    <w:p w14:paraId="2E2FD54D" w14:textId="77777777" w:rsidR="00B41515" w:rsidRPr="00CF33C0" w:rsidRDefault="00B41515" w:rsidP="00CF33C0">
      <w:pPr>
        <w:pStyle w:val="CuerpodetextoNotadePrensa"/>
        <w:rPr>
          <w:lang w:val="es-ES" w:eastAsia="es-ES"/>
        </w:rPr>
      </w:pPr>
    </w:p>
    <w:p w14:paraId="7B4D8B8F" w14:textId="2DC59321" w:rsidR="00EC5C5A" w:rsidRPr="00CF33C0" w:rsidRDefault="00EC5C5A" w:rsidP="00EC5C5A">
      <w:pPr>
        <w:pStyle w:val="CuerpodetextoNotadePrensa"/>
        <w:rPr>
          <w:lang w:val="es-ES" w:eastAsia="es-ES"/>
        </w:rPr>
      </w:pPr>
      <w:r w:rsidRPr="00CF33C0">
        <w:rPr>
          <w:lang w:val="es-ES" w:eastAsia="es-ES"/>
        </w:rPr>
        <w:t xml:space="preserve">El Gobierno de La Rioja renueva su firme compromiso con el </w:t>
      </w:r>
      <w:r w:rsidR="004358A8">
        <w:rPr>
          <w:lang w:val="es-ES" w:eastAsia="es-ES"/>
        </w:rPr>
        <w:t xml:space="preserve">fortalecimiento </w:t>
      </w:r>
      <w:r w:rsidRPr="00CF33C0">
        <w:rPr>
          <w:lang w:val="es-ES" w:eastAsia="es-ES"/>
        </w:rPr>
        <w:t>de los servicios públicos con más profesionales</w:t>
      </w:r>
      <w:r w:rsidR="001E6B80">
        <w:rPr>
          <w:lang w:val="es-ES" w:eastAsia="es-ES"/>
        </w:rPr>
        <w:t>, sobre todo de los ámbitos sanitario y educativo,</w:t>
      </w:r>
      <w:bookmarkStart w:id="0" w:name="_GoBack"/>
      <w:bookmarkEnd w:id="0"/>
      <w:r w:rsidRPr="00CF33C0">
        <w:rPr>
          <w:lang w:val="es-ES" w:eastAsia="es-ES"/>
        </w:rPr>
        <w:t xml:space="preserve"> que contribuyan a prestar un servicio más cercano, más eficiente y de mayor calidad al conjunto de </w:t>
      </w:r>
      <w:r w:rsidR="00F83D32">
        <w:rPr>
          <w:lang w:val="es-ES" w:eastAsia="es-ES"/>
        </w:rPr>
        <w:t>los ciudadanos</w:t>
      </w:r>
      <w:r w:rsidR="001371B1">
        <w:rPr>
          <w:lang w:val="es-ES" w:eastAsia="es-ES"/>
        </w:rPr>
        <w:t>.</w:t>
      </w:r>
      <w:r w:rsidRPr="00CF33C0">
        <w:rPr>
          <w:lang w:val="es-ES" w:eastAsia="es-ES"/>
        </w:rPr>
        <w:t xml:space="preserve">  </w:t>
      </w:r>
    </w:p>
    <w:p w14:paraId="1BFE068A" w14:textId="77777777" w:rsidR="00EC5C5A" w:rsidRPr="00CF33C0" w:rsidRDefault="00EC5C5A" w:rsidP="00CF33C0">
      <w:pPr>
        <w:pStyle w:val="CuerpodetextoNotadePrensa"/>
        <w:rPr>
          <w:lang w:val="es-ES" w:eastAsia="es-ES"/>
        </w:rPr>
      </w:pPr>
    </w:p>
    <w:p w14:paraId="11104B29" w14:textId="77777777" w:rsidR="00B41515" w:rsidRPr="00CF33C0" w:rsidRDefault="00B41515" w:rsidP="00CF33C0">
      <w:pPr>
        <w:pStyle w:val="CuerpodetextoNotadePrensa"/>
        <w:rPr>
          <w:lang w:val="es-ES" w:eastAsia="es-ES"/>
        </w:rPr>
      </w:pPr>
      <w:bookmarkStart w:id="1" w:name="_gjdgxs" w:colFirst="0" w:colLast="0"/>
      <w:bookmarkEnd w:id="1"/>
    </w:p>
    <w:p w14:paraId="7D9600C2" w14:textId="26A843CC" w:rsidR="005A2D5B" w:rsidRPr="00CF33C0" w:rsidRDefault="005A2D5B" w:rsidP="00CF33C0">
      <w:pPr>
        <w:pStyle w:val="CuerpodetextoNotadePrensa"/>
        <w:rPr>
          <w:lang w:val="es-ES"/>
        </w:rPr>
      </w:pPr>
    </w:p>
    <w:sectPr w:rsidR="005A2D5B" w:rsidRPr="00CF33C0" w:rsidSect="00A62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4AD3C" w14:textId="77777777" w:rsidR="008B0893" w:rsidRDefault="008B0893" w:rsidP="0069392B">
      <w:r>
        <w:separator/>
      </w:r>
    </w:p>
  </w:endnote>
  <w:endnote w:type="continuationSeparator" w:id="0">
    <w:p w14:paraId="249D28AE" w14:textId="77777777" w:rsidR="008B0893" w:rsidRDefault="008B0893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1B1CA" w14:textId="77777777" w:rsidR="008B0893" w:rsidRDefault="008B0893" w:rsidP="0069392B">
      <w:r>
        <w:separator/>
      </w:r>
    </w:p>
  </w:footnote>
  <w:footnote w:type="continuationSeparator" w:id="0">
    <w:p w14:paraId="5D8D483D" w14:textId="77777777" w:rsidR="008B0893" w:rsidRDefault="008B0893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16800"/>
    <w:rsid w:val="00022E1C"/>
    <w:rsid w:val="000258D7"/>
    <w:rsid w:val="0004582D"/>
    <w:rsid w:val="000579A8"/>
    <w:rsid w:val="00061701"/>
    <w:rsid w:val="0007706B"/>
    <w:rsid w:val="00077372"/>
    <w:rsid w:val="000A6ED9"/>
    <w:rsid w:val="000C494A"/>
    <w:rsid w:val="000C65AC"/>
    <w:rsid w:val="000D0610"/>
    <w:rsid w:val="000F3F3C"/>
    <w:rsid w:val="00100590"/>
    <w:rsid w:val="001037A5"/>
    <w:rsid w:val="00113209"/>
    <w:rsid w:val="00122B97"/>
    <w:rsid w:val="00136D3D"/>
    <w:rsid w:val="001371B1"/>
    <w:rsid w:val="001542F7"/>
    <w:rsid w:val="0018459D"/>
    <w:rsid w:val="00190A99"/>
    <w:rsid w:val="001B0C14"/>
    <w:rsid w:val="001C4710"/>
    <w:rsid w:val="001D564C"/>
    <w:rsid w:val="001D5774"/>
    <w:rsid w:val="001E6B80"/>
    <w:rsid w:val="001E7087"/>
    <w:rsid w:val="0020207D"/>
    <w:rsid w:val="00240D3F"/>
    <w:rsid w:val="00250CDB"/>
    <w:rsid w:val="00252FEA"/>
    <w:rsid w:val="00261510"/>
    <w:rsid w:val="00265D6C"/>
    <w:rsid w:val="002873D9"/>
    <w:rsid w:val="002900F4"/>
    <w:rsid w:val="002B4D5D"/>
    <w:rsid w:val="002C1DFD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61CEA"/>
    <w:rsid w:val="003720CB"/>
    <w:rsid w:val="0038608D"/>
    <w:rsid w:val="0039046B"/>
    <w:rsid w:val="003A3E60"/>
    <w:rsid w:val="003B3B2C"/>
    <w:rsid w:val="003C03C5"/>
    <w:rsid w:val="003C1605"/>
    <w:rsid w:val="003F7DEE"/>
    <w:rsid w:val="00416AFD"/>
    <w:rsid w:val="00417179"/>
    <w:rsid w:val="00426BFC"/>
    <w:rsid w:val="00427CB5"/>
    <w:rsid w:val="004358A8"/>
    <w:rsid w:val="00435C9E"/>
    <w:rsid w:val="00436948"/>
    <w:rsid w:val="00444336"/>
    <w:rsid w:val="00457A9C"/>
    <w:rsid w:val="004704A1"/>
    <w:rsid w:val="0047552C"/>
    <w:rsid w:val="00477863"/>
    <w:rsid w:val="00482A34"/>
    <w:rsid w:val="00485914"/>
    <w:rsid w:val="00487FA9"/>
    <w:rsid w:val="00495B58"/>
    <w:rsid w:val="00495D1F"/>
    <w:rsid w:val="004D420D"/>
    <w:rsid w:val="004D594F"/>
    <w:rsid w:val="004E4BE1"/>
    <w:rsid w:val="0050645C"/>
    <w:rsid w:val="00512696"/>
    <w:rsid w:val="00546568"/>
    <w:rsid w:val="005544FB"/>
    <w:rsid w:val="00574433"/>
    <w:rsid w:val="0058176E"/>
    <w:rsid w:val="00583470"/>
    <w:rsid w:val="00587D53"/>
    <w:rsid w:val="00596975"/>
    <w:rsid w:val="00597247"/>
    <w:rsid w:val="005A2D5B"/>
    <w:rsid w:val="005B47FD"/>
    <w:rsid w:val="005D5F8F"/>
    <w:rsid w:val="006071F2"/>
    <w:rsid w:val="006318DD"/>
    <w:rsid w:val="006563C4"/>
    <w:rsid w:val="00673FFA"/>
    <w:rsid w:val="00674FFD"/>
    <w:rsid w:val="0069392B"/>
    <w:rsid w:val="006A7DBC"/>
    <w:rsid w:val="006B0802"/>
    <w:rsid w:val="006B128B"/>
    <w:rsid w:val="006E1A68"/>
    <w:rsid w:val="006E1D52"/>
    <w:rsid w:val="006E4EFA"/>
    <w:rsid w:val="00706970"/>
    <w:rsid w:val="00716285"/>
    <w:rsid w:val="00723AC1"/>
    <w:rsid w:val="00725055"/>
    <w:rsid w:val="00726428"/>
    <w:rsid w:val="00771339"/>
    <w:rsid w:val="00774BBE"/>
    <w:rsid w:val="0079280F"/>
    <w:rsid w:val="00792C72"/>
    <w:rsid w:val="007A7E63"/>
    <w:rsid w:val="007B0473"/>
    <w:rsid w:val="007C7121"/>
    <w:rsid w:val="007D43CD"/>
    <w:rsid w:val="007D6FFF"/>
    <w:rsid w:val="007E4491"/>
    <w:rsid w:val="007F11B4"/>
    <w:rsid w:val="007F2717"/>
    <w:rsid w:val="008031F9"/>
    <w:rsid w:val="008231A3"/>
    <w:rsid w:val="00837531"/>
    <w:rsid w:val="00854AE5"/>
    <w:rsid w:val="00865E2D"/>
    <w:rsid w:val="00867255"/>
    <w:rsid w:val="00872B82"/>
    <w:rsid w:val="0087541B"/>
    <w:rsid w:val="00892C54"/>
    <w:rsid w:val="00895710"/>
    <w:rsid w:val="00897BA9"/>
    <w:rsid w:val="008B05E4"/>
    <w:rsid w:val="008B0893"/>
    <w:rsid w:val="008B797D"/>
    <w:rsid w:val="008E7E40"/>
    <w:rsid w:val="0091620F"/>
    <w:rsid w:val="00917E39"/>
    <w:rsid w:val="00925164"/>
    <w:rsid w:val="00933B0C"/>
    <w:rsid w:val="009735EC"/>
    <w:rsid w:val="00977EFE"/>
    <w:rsid w:val="00981F18"/>
    <w:rsid w:val="0099696E"/>
    <w:rsid w:val="009C5817"/>
    <w:rsid w:val="009D2074"/>
    <w:rsid w:val="009E5CBE"/>
    <w:rsid w:val="009E7835"/>
    <w:rsid w:val="009F3D47"/>
    <w:rsid w:val="009F73E9"/>
    <w:rsid w:val="00A1245E"/>
    <w:rsid w:val="00A141BE"/>
    <w:rsid w:val="00A347CA"/>
    <w:rsid w:val="00A462AE"/>
    <w:rsid w:val="00A56656"/>
    <w:rsid w:val="00A6238F"/>
    <w:rsid w:val="00A73F0E"/>
    <w:rsid w:val="00A756FA"/>
    <w:rsid w:val="00A809FA"/>
    <w:rsid w:val="00A81FF3"/>
    <w:rsid w:val="00A849B3"/>
    <w:rsid w:val="00A92CDB"/>
    <w:rsid w:val="00AA0B41"/>
    <w:rsid w:val="00AC0C78"/>
    <w:rsid w:val="00AC6E30"/>
    <w:rsid w:val="00AE058B"/>
    <w:rsid w:val="00AE6913"/>
    <w:rsid w:val="00B32CAB"/>
    <w:rsid w:val="00B41515"/>
    <w:rsid w:val="00B43F08"/>
    <w:rsid w:val="00B93DBC"/>
    <w:rsid w:val="00B97FCD"/>
    <w:rsid w:val="00BA1670"/>
    <w:rsid w:val="00BA5D06"/>
    <w:rsid w:val="00BE70B2"/>
    <w:rsid w:val="00BF1137"/>
    <w:rsid w:val="00C05A43"/>
    <w:rsid w:val="00C22F34"/>
    <w:rsid w:val="00C43470"/>
    <w:rsid w:val="00C46BB1"/>
    <w:rsid w:val="00C648E7"/>
    <w:rsid w:val="00C70D43"/>
    <w:rsid w:val="00C71BAE"/>
    <w:rsid w:val="00C83CF8"/>
    <w:rsid w:val="00CB622A"/>
    <w:rsid w:val="00CC08D8"/>
    <w:rsid w:val="00CE4A17"/>
    <w:rsid w:val="00CF33C0"/>
    <w:rsid w:val="00D017AC"/>
    <w:rsid w:val="00D312AD"/>
    <w:rsid w:val="00D53E08"/>
    <w:rsid w:val="00D60BD5"/>
    <w:rsid w:val="00D66736"/>
    <w:rsid w:val="00D668A6"/>
    <w:rsid w:val="00D80EDA"/>
    <w:rsid w:val="00D93B1A"/>
    <w:rsid w:val="00DA0C87"/>
    <w:rsid w:val="00DA6DBF"/>
    <w:rsid w:val="00DB1D64"/>
    <w:rsid w:val="00DC5213"/>
    <w:rsid w:val="00DD0856"/>
    <w:rsid w:val="00DD4024"/>
    <w:rsid w:val="00DE3209"/>
    <w:rsid w:val="00DE4245"/>
    <w:rsid w:val="00E10F2E"/>
    <w:rsid w:val="00E25429"/>
    <w:rsid w:val="00E41609"/>
    <w:rsid w:val="00E46BE2"/>
    <w:rsid w:val="00E517E4"/>
    <w:rsid w:val="00E52D00"/>
    <w:rsid w:val="00E57DF5"/>
    <w:rsid w:val="00E60F54"/>
    <w:rsid w:val="00E63FE9"/>
    <w:rsid w:val="00E655ED"/>
    <w:rsid w:val="00E773B3"/>
    <w:rsid w:val="00EC5C5A"/>
    <w:rsid w:val="00ED2279"/>
    <w:rsid w:val="00ED47D0"/>
    <w:rsid w:val="00F10092"/>
    <w:rsid w:val="00F206E4"/>
    <w:rsid w:val="00F3350C"/>
    <w:rsid w:val="00F6481D"/>
    <w:rsid w:val="00F671DE"/>
    <w:rsid w:val="00F8126E"/>
    <w:rsid w:val="00F83D32"/>
    <w:rsid w:val="00F849BA"/>
    <w:rsid w:val="00F92DFC"/>
    <w:rsid w:val="00FA4DD6"/>
    <w:rsid w:val="00FB501A"/>
    <w:rsid w:val="00FD62E8"/>
    <w:rsid w:val="00FE1094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table" w:styleId="Listamedia2-nfasis1">
    <w:name w:val="Medium List 2 Accent 1"/>
    <w:basedOn w:val="Tablanormal"/>
    <w:uiPriority w:val="66"/>
    <w:rsid w:val="007F11B4"/>
    <w:rPr>
      <w:rFonts w:asciiTheme="majorHAnsi" w:eastAsiaTheme="majorEastAsia" w:hAnsiTheme="majorHAnsi" w:cstheme="majorBidi"/>
      <w:color w:val="000000" w:themeColor="text1"/>
      <w:sz w:val="22"/>
      <w:szCs w:val="22"/>
      <w:lang w:eastAsia="es-E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7F11B4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7F11B4"/>
    <w:rPr>
      <w:rFonts w:asciiTheme="minorHAnsi" w:eastAsiaTheme="minorEastAsia" w:hAnsiTheme="minorHAnsi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F11B4"/>
    <w:rPr>
      <w:rFonts w:eastAsiaTheme="minorEastAsia" w:cs="Times New Roman"/>
      <w:sz w:val="20"/>
      <w:szCs w:val="20"/>
      <w:lang w:eastAsia="es-ES"/>
    </w:rPr>
  </w:style>
  <w:style w:type="character" w:styleId="nfasissutil">
    <w:name w:val="Subtle Emphasis"/>
    <w:basedOn w:val="Fuentedeprrafopredeter"/>
    <w:uiPriority w:val="19"/>
    <w:qFormat/>
    <w:rsid w:val="007F11B4"/>
    <w:rPr>
      <w:i/>
      <w:iCs/>
    </w:rPr>
  </w:style>
  <w:style w:type="table" w:styleId="Sombreadomedio2-nfasis5">
    <w:name w:val="Medium Shading 2 Accent 5"/>
    <w:basedOn w:val="Tablanormal"/>
    <w:uiPriority w:val="64"/>
    <w:rsid w:val="007F11B4"/>
    <w:rPr>
      <w:rFonts w:eastAsiaTheme="minorEastAsia"/>
      <w:sz w:val="22"/>
      <w:szCs w:val="22"/>
      <w:lang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7F11B4"/>
    <w:rPr>
      <w:rFonts w:eastAsiaTheme="minorEastAsia"/>
      <w:sz w:val="22"/>
      <w:szCs w:val="22"/>
      <w:lang w:eastAsia="es-E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A566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5D174-4F86-4228-8A32-1ABFBA54F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20</cp:revision>
  <cp:lastPrinted>2024-06-24T09:44:00Z</cp:lastPrinted>
  <dcterms:created xsi:type="dcterms:W3CDTF">2025-01-07T12:23:00Z</dcterms:created>
  <dcterms:modified xsi:type="dcterms:W3CDTF">2025-01-08T10:36:00Z</dcterms:modified>
</cp:coreProperties>
</file>