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ind w:left="8220"/>
        <w:spacing w:after="0"/>
        <w:rPr>
          <w:sz w:val="20"/>
          <w:szCs w:val="20"/>
          <w:color w:val="auto"/>
        </w:rPr>
      </w:pPr>
      <w:r>
        <w:rPr>
          <w:rFonts w:ascii="Arial" w:cs="Arial" w:eastAsia="Arial" w:hAnsi="Arial"/>
          <w:sz w:val="22"/>
          <w:szCs w:val="22"/>
          <w:color w:val="auto"/>
        </w:rPr>
        <w:t>CL/4185</w:t>
      </w:r>
    </w:p>
    <w:p>
      <w:pPr>
        <w:ind w:left="8220"/>
        <w:spacing w:after="0"/>
        <w:rPr>
          <w:sz w:val="20"/>
          <w:szCs w:val="20"/>
          <w:color w:val="auto"/>
        </w:rPr>
      </w:pPr>
      <w:r>
        <w:rPr>
          <w:rFonts w:ascii="Arial" w:cs="Arial" w:eastAsia="Arial" w:hAnsi="Arial"/>
          <w:sz w:val="22"/>
          <w:szCs w:val="22"/>
          <w:color w:val="auto"/>
        </w:rPr>
        <w:t>Annexe I</w:t>
      </w:r>
    </w:p>
    <w:p>
      <w:pPr>
        <w:spacing w:after="0" w:line="238" w:lineRule="exact"/>
        <w:rPr>
          <w:sz w:val="24"/>
          <w:szCs w:val="24"/>
          <w:color w:val="auto"/>
        </w:rPr>
      </w:pPr>
    </w:p>
    <w:p>
      <w:pPr>
        <w:ind w:left="4300"/>
        <w:spacing w:after="0"/>
        <w:rPr>
          <w:sz w:val="20"/>
          <w:szCs w:val="20"/>
          <w:color w:val="auto"/>
        </w:rPr>
      </w:pPr>
      <w:r>
        <w:rPr>
          <w:rFonts w:ascii="Arial" w:cs="Arial" w:eastAsia="Arial" w:hAnsi="Arial"/>
          <w:sz w:val="22"/>
          <w:szCs w:val="22"/>
          <w:b w:val="1"/>
          <w:bCs w:val="1"/>
          <w:color w:val="auto"/>
        </w:rPr>
        <w:t>ANNEXE I</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155575</wp:posOffset>
            </wp:positionV>
            <wp:extent cx="1374140" cy="14230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1374140" cy="1423035"/>
                    </a:xfrm>
                    <a:prstGeom prst="rect">
                      <a:avLst/>
                    </a:prstGeom>
                    <a:noFill/>
                  </pic:spPr>
                </pic:pic>
              </a:graphicData>
            </a:graphic>
          </wp:anchor>
        </w:drawing>
        <w:drawing>
          <wp:anchor simplePos="0" relativeHeight="251657728" behindDoc="1" locked="0" layoutInCell="0" allowOverlap="1">
            <wp:simplePos x="0" y="0"/>
            <wp:positionH relativeFrom="column">
              <wp:posOffset>4311650</wp:posOffset>
            </wp:positionH>
            <wp:positionV relativeFrom="paragraph">
              <wp:posOffset>168275</wp:posOffset>
            </wp:positionV>
            <wp:extent cx="1580515" cy="11785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1580515" cy="1178560"/>
                    </a:xfrm>
                    <a:prstGeom prst="rect">
                      <a:avLst/>
                    </a:prstGeom>
                    <a:noFill/>
                  </pic:spPr>
                </pic:pic>
              </a:graphicData>
            </a:graphic>
          </wp:anchor>
        </w:drawing>
      </w:r>
    </w:p>
    <w:p>
      <w:pPr>
        <w:spacing w:after="0" w:line="299" w:lineRule="exact"/>
        <w:rPr>
          <w:sz w:val="24"/>
          <w:szCs w:val="24"/>
          <w:color w:val="auto"/>
        </w:rPr>
      </w:pPr>
    </w:p>
    <w:p>
      <w:pPr>
        <w:ind w:left="2200" w:right="3840"/>
        <w:spacing w:after="0" w:line="210" w:lineRule="auto"/>
        <w:rPr>
          <w:sz w:val="20"/>
          <w:szCs w:val="20"/>
          <w:color w:val="auto"/>
        </w:rPr>
      </w:pPr>
      <w:r>
        <w:rPr>
          <w:rFonts w:ascii="Arial Black" w:cs="Arial Black" w:eastAsia="Arial Black" w:hAnsi="Arial Black"/>
          <w:sz w:val="28"/>
          <w:szCs w:val="28"/>
          <w:b w:val="1"/>
          <w:bCs w:val="1"/>
          <w:color w:val="auto"/>
        </w:rPr>
        <w:t>Prix UNESCO-Japon d’éducation en vue du développement durable</w:t>
      </w:r>
    </w:p>
    <w:p>
      <w:pPr>
        <w:spacing w:after="0" w:line="53" w:lineRule="exact"/>
        <w:rPr>
          <w:sz w:val="24"/>
          <w:szCs w:val="24"/>
          <w:color w:val="auto"/>
        </w:rPr>
      </w:pPr>
    </w:p>
    <w:p>
      <w:pPr>
        <w:ind w:left="2200"/>
        <w:spacing w:after="0"/>
        <w:rPr>
          <w:sz w:val="20"/>
          <w:szCs w:val="20"/>
          <w:color w:val="auto"/>
        </w:rPr>
      </w:pPr>
      <w:r>
        <w:rPr>
          <w:rFonts w:ascii="Arial Black" w:cs="Arial Black" w:eastAsia="Arial Black" w:hAnsi="Arial Black"/>
          <w:sz w:val="30"/>
          <w:szCs w:val="30"/>
          <w:b w:val="1"/>
          <w:bCs w:val="1"/>
          <w:color w:val="365F91"/>
        </w:rPr>
        <w:t>Note explicative</w:t>
      </w:r>
    </w:p>
    <w:p>
      <w:pPr>
        <w:spacing w:after="0" w:line="62" w:lineRule="exact"/>
        <w:rPr>
          <w:sz w:val="24"/>
          <w:szCs w:val="24"/>
          <w:color w:val="auto"/>
        </w:rPr>
      </w:pPr>
    </w:p>
    <w:p>
      <w:pPr>
        <w:ind w:left="2200"/>
        <w:spacing w:after="0"/>
        <w:rPr>
          <w:sz w:val="20"/>
          <w:szCs w:val="20"/>
          <w:color w:val="auto"/>
        </w:rPr>
      </w:pPr>
      <w:r>
        <w:rPr>
          <w:rFonts w:ascii="Arial Black" w:cs="Arial Black" w:eastAsia="Arial Black" w:hAnsi="Arial Black"/>
          <w:sz w:val="30"/>
          <w:szCs w:val="30"/>
          <w:b w:val="1"/>
          <w:bCs w:val="1"/>
          <w:color w:val="365F91"/>
        </w:rPr>
        <w:t>Appel à candidatures 2017</w:t>
      </w:r>
    </w:p>
    <w:p>
      <w:pPr>
        <w:spacing w:after="0" w:line="200" w:lineRule="exact"/>
        <w:rPr>
          <w:sz w:val="24"/>
          <w:szCs w:val="24"/>
          <w:color w:val="auto"/>
        </w:rPr>
      </w:pPr>
    </w:p>
    <w:p>
      <w:pPr>
        <w:spacing w:after="0" w:line="214" w:lineRule="exact"/>
        <w:rPr>
          <w:sz w:val="24"/>
          <w:szCs w:val="24"/>
          <w:color w:val="auto"/>
        </w:rPr>
      </w:pPr>
    </w:p>
    <w:p>
      <w:pPr>
        <w:spacing w:after="0"/>
        <w:rPr>
          <w:sz w:val="20"/>
          <w:szCs w:val="20"/>
          <w:color w:val="auto"/>
        </w:rPr>
      </w:pPr>
      <w:r>
        <w:rPr>
          <w:rFonts w:ascii="Arial" w:cs="Arial" w:eastAsia="Arial" w:hAnsi="Arial"/>
          <w:sz w:val="22"/>
          <w:szCs w:val="22"/>
          <w:b w:val="1"/>
          <w:bCs w:val="1"/>
          <w:color w:val="auto"/>
        </w:rPr>
        <w:t>Contexte</w:t>
      </w:r>
    </w:p>
    <w:p>
      <w:pPr>
        <w:spacing w:after="0" w:line="250" w:lineRule="exact"/>
        <w:rPr>
          <w:sz w:val="24"/>
          <w:szCs w:val="24"/>
          <w:color w:val="auto"/>
        </w:rPr>
      </w:pPr>
    </w:p>
    <w:p>
      <w:pPr>
        <w:jc w:val="both"/>
        <w:spacing w:after="0" w:line="231" w:lineRule="auto"/>
        <w:rPr>
          <w:sz w:val="20"/>
          <w:szCs w:val="20"/>
          <w:color w:val="auto"/>
        </w:rPr>
      </w:pPr>
      <w:r>
        <w:rPr>
          <w:rFonts w:ascii="Arial" w:cs="Arial" w:eastAsia="Arial" w:hAnsi="Arial"/>
          <w:sz w:val="22"/>
          <w:szCs w:val="22"/>
          <w:color w:val="auto"/>
        </w:rPr>
        <w:t>Dans le cadre du Programme d'action global (PAG) pour l'EDD, le Prix UNESCO-Japon d’éducation en vue du développement durable (EDD) récompense les efforts exemplaires de personnes, d’institutions et d’organisations ou d'autres entités engagées dans des activités d’éducation en vue du développement durable. Le Prix a été créé par le Conseil exécutif de l’UNESCO à sa 195</w:t>
      </w:r>
      <w:r>
        <w:rPr>
          <w:rFonts w:ascii="Arial" w:cs="Arial" w:eastAsia="Arial" w:hAnsi="Arial"/>
          <w:sz w:val="27"/>
          <w:szCs w:val="27"/>
          <w:color w:val="auto"/>
          <w:vertAlign w:val="superscript"/>
        </w:rPr>
        <w:t>e</w:t>
      </w:r>
      <w:r>
        <w:rPr>
          <w:rFonts w:ascii="Arial" w:cs="Arial" w:eastAsia="Arial" w:hAnsi="Arial"/>
          <w:sz w:val="22"/>
          <w:szCs w:val="22"/>
          <w:color w:val="auto"/>
        </w:rPr>
        <w:t xml:space="preserve"> session et officiellement annoncé à la Conférence mondiale de l’UNESCO sur l’EDD (10-12 novembre 2014, Aichi-Nagoya, Japon). Il consiste en trois prix annuels de 50 000 dollars chacun et il a été décerné pour la première fois en novembre 2015.</w:t>
      </w:r>
    </w:p>
    <w:p>
      <w:pPr>
        <w:spacing w:after="0" w:line="241" w:lineRule="exact"/>
        <w:rPr>
          <w:sz w:val="24"/>
          <w:szCs w:val="24"/>
          <w:color w:val="auto"/>
        </w:rPr>
      </w:pPr>
    </w:p>
    <w:p>
      <w:pPr>
        <w:spacing w:after="0"/>
        <w:rPr>
          <w:sz w:val="20"/>
          <w:szCs w:val="20"/>
          <w:color w:val="auto"/>
        </w:rPr>
      </w:pPr>
      <w:r>
        <w:rPr>
          <w:rFonts w:ascii="Arial" w:cs="Arial" w:eastAsia="Arial" w:hAnsi="Arial"/>
          <w:sz w:val="22"/>
          <w:szCs w:val="22"/>
          <w:b w:val="1"/>
          <w:bCs w:val="1"/>
          <w:color w:val="auto"/>
        </w:rPr>
        <w:t>Candidatures</w:t>
      </w:r>
    </w:p>
    <w:p>
      <w:pPr>
        <w:spacing w:after="0" w:line="250" w:lineRule="exact"/>
        <w:rPr>
          <w:sz w:val="24"/>
          <w:szCs w:val="24"/>
          <w:color w:val="auto"/>
        </w:rPr>
      </w:pPr>
    </w:p>
    <w:p>
      <w:pPr>
        <w:jc w:val="both"/>
        <w:spacing w:after="0" w:line="238" w:lineRule="auto"/>
        <w:rPr>
          <w:sz w:val="20"/>
          <w:szCs w:val="20"/>
          <w:color w:val="auto"/>
        </w:rPr>
      </w:pPr>
      <w:r>
        <w:rPr>
          <w:rFonts w:ascii="Arial" w:cs="Arial" w:eastAsia="Arial" w:hAnsi="Arial"/>
          <w:sz w:val="22"/>
          <w:szCs w:val="22"/>
          <w:color w:val="auto"/>
        </w:rPr>
        <w:t xml:space="preserve">Les candidatures peuvent être présentées par les États membres et les organisations non gouvernementales en partenariat officiel avec l’UNESCO. Elles doivent se concentrer sur un </w:t>
      </w:r>
      <w:r>
        <w:rPr>
          <w:rFonts w:ascii="Arial" w:cs="Arial" w:eastAsia="Arial" w:hAnsi="Arial"/>
          <w:sz w:val="22"/>
          <w:szCs w:val="22"/>
          <w:u w:val="single" w:color="auto"/>
          <w:color w:val="auto"/>
        </w:rPr>
        <w:t>projet</w:t>
      </w:r>
      <w:r>
        <w:rPr>
          <w:rFonts w:ascii="Arial" w:cs="Arial" w:eastAsia="Arial" w:hAnsi="Arial"/>
          <w:sz w:val="22"/>
          <w:szCs w:val="22"/>
          <w:color w:val="auto"/>
        </w:rPr>
        <w:t xml:space="preserve"> </w:t>
      </w:r>
      <w:r>
        <w:rPr>
          <w:rFonts w:ascii="Arial" w:cs="Arial" w:eastAsia="Arial" w:hAnsi="Arial"/>
          <w:sz w:val="22"/>
          <w:szCs w:val="22"/>
          <w:u w:val="single" w:color="auto"/>
          <w:color w:val="auto"/>
        </w:rPr>
        <w:t>ou programme spécifique d’EDD</w:t>
      </w:r>
      <w:r>
        <w:rPr>
          <w:rFonts w:ascii="Arial" w:cs="Arial" w:eastAsia="Arial" w:hAnsi="Arial"/>
          <w:sz w:val="22"/>
          <w:szCs w:val="22"/>
          <w:color w:val="auto"/>
        </w:rPr>
        <w:t xml:space="preserve"> du candidat. Chaque délégation permanente ou ONG peut soumettre jusqu'à trois candidatures pour toute édition du Prix. Nul ne peut présenter sa propre candidature.</w:t>
      </w:r>
    </w:p>
    <w:p>
      <w:pPr>
        <w:spacing w:after="0" w:line="240" w:lineRule="exact"/>
        <w:rPr>
          <w:sz w:val="24"/>
          <w:szCs w:val="24"/>
          <w:color w:val="auto"/>
        </w:rPr>
      </w:pPr>
    </w:p>
    <w:p>
      <w:pPr>
        <w:spacing w:after="0"/>
        <w:rPr>
          <w:sz w:val="20"/>
          <w:szCs w:val="20"/>
          <w:color w:val="auto"/>
        </w:rPr>
      </w:pPr>
      <w:r>
        <w:rPr>
          <w:rFonts w:ascii="Arial" w:cs="Arial" w:eastAsia="Arial" w:hAnsi="Arial"/>
          <w:sz w:val="22"/>
          <w:szCs w:val="22"/>
          <w:b w:val="1"/>
          <w:bCs w:val="1"/>
          <w:color w:val="auto"/>
        </w:rPr>
        <w:t>Critères de sélection</w:t>
      </w:r>
    </w:p>
    <w:p>
      <w:pPr>
        <w:spacing w:after="0" w:line="253" w:lineRule="exact"/>
        <w:rPr>
          <w:sz w:val="24"/>
          <w:szCs w:val="24"/>
          <w:color w:val="auto"/>
        </w:rPr>
      </w:pPr>
    </w:p>
    <w:p>
      <w:pPr>
        <w:jc w:val="both"/>
        <w:spacing w:after="0" w:line="237" w:lineRule="auto"/>
        <w:rPr>
          <w:sz w:val="20"/>
          <w:szCs w:val="20"/>
          <w:color w:val="auto"/>
        </w:rPr>
      </w:pPr>
      <w:r>
        <w:rPr>
          <w:rFonts w:ascii="Arial" w:cs="Arial" w:eastAsia="Arial" w:hAnsi="Arial"/>
          <w:sz w:val="22"/>
          <w:szCs w:val="22"/>
          <w:color w:val="auto"/>
        </w:rPr>
        <w:t>Les trois lauréats du Prix seront choisis par la Directrice générale de l'UNESCO sur la base des recommandations faites par le Jury international indépendant du Prix UNESCO-Japon composé de cinq experts issus de toutes les régions géographiques. Le projet/programme du candidat sera évalué par le Jury sur la base des critères suivants :</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-6985</wp:posOffset>
                </wp:positionH>
                <wp:positionV relativeFrom="paragraph">
                  <wp:posOffset>158750</wp:posOffset>
                </wp:positionV>
                <wp:extent cx="610997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099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499pt,12.5pt" to="480.55pt,12.5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-4445</wp:posOffset>
                </wp:positionH>
                <wp:positionV relativeFrom="paragraph">
                  <wp:posOffset>155575</wp:posOffset>
                </wp:positionV>
                <wp:extent cx="0" cy="3231515"/>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2315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3499pt,12.25pt" to="-0.3499pt,266.7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6099810</wp:posOffset>
                </wp:positionH>
                <wp:positionV relativeFrom="paragraph">
                  <wp:posOffset>155575</wp:posOffset>
                </wp:positionV>
                <wp:extent cx="0" cy="3231515"/>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323151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3pt,12.25pt" to="480.3pt,266.7pt" o:allowincell="f" strokecolor="#000000" strokeweight="0.4799pt"/>
            </w:pict>
          </mc:Fallback>
        </mc:AlternateContent>
      </w:r>
    </w:p>
    <w:p>
      <w:pPr>
        <w:spacing w:after="0" w:line="301" w:lineRule="exact"/>
        <w:rPr>
          <w:sz w:val="24"/>
          <w:szCs w:val="24"/>
          <w:color w:val="auto"/>
        </w:rPr>
      </w:pPr>
    </w:p>
    <w:p>
      <w:pPr>
        <w:jc w:val="both"/>
        <w:ind w:left="380" w:right="420"/>
        <w:spacing w:after="0" w:line="237" w:lineRule="auto"/>
        <w:rPr>
          <w:sz w:val="20"/>
          <w:szCs w:val="20"/>
          <w:color w:val="auto"/>
        </w:rPr>
      </w:pPr>
      <w:r>
        <w:rPr>
          <w:rFonts w:ascii="Arial" w:cs="Arial" w:eastAsia="Arial" w:hAnsi="Arial"/>
          <w:sz w:val="22"/>
          <w:szCs w:val="22"/>
          <w:b w:val="1"/>
          <w:bCs w:val="1"/>
          <w:color w:val="auto"/>
        </w:rPr>
        <w:t xml:space="preserve">a. Transformation </w:t>
      </w:r>
      <w:r>
        <w:rPr>
          <w:rFonts w:ascii="Arial" w:cs="Arial" w:eastAsia="Arial" w:hAnsi="Arial"/>
          <w:sz w:val="22"/>
          <w:szCs w:val="22"/>
          <w:color w:val="auto"/>
        </w:rPr>
        <w:t>: Le projet/programme</w:t>
      </w:r>
      <w:r>
        <w:rPr>
          <w:rFonts w:ascii="Arial" w:cs="Arial" w:eastAsia="Arial" w:hAnsi="Arial"/>
          <w:sz w:val="22"/>
          <w:szCs w:val="22"/>
          <w:b w:val="1"/>
          <w:bCs w:val="1"/>
          <w:color w:val="auto"/>
        </w:rPr>
        <w:t xml:space="preserve"> </w:t>
      </w:r>
      <w:r>
        <w:rPr>
          <w:rFonts w:ascii="Arial" w:cs="Arial" w:eastAsia="Arial" w:hAnsi="Arial"/>
          <w:sz w:val="22"/>
          <w:szCs w:val="22"/>
          <w:u w:val="single" w:color="auto"/>
          <w:color w:val="auto"/>
        </w:rPr>
        <w:t>met en œuvre l'EDD comme une activité</w:t>
      </w:r>
      <w:r>
        <w:rPr>
          <w:rFonts w:ascii="Arial" w:cs="Arial" w:eastAsia="Arial" w:hAnsi="Arial"/>
          <w:sz w:val="22"/>
          <w:szCs w:val="22"/>
          <w:b w:val="1"/>
          <w:bCs w:val="1"/>
          <w:color w:val="auto"/>
        </w:rPr>
        <w:t xml:space="preserve"> </w:t>
      </w:r>
      <w:r>
        <w:rPr>
          <w:rFonts w:ascii="Arial" w:cs="Arial" w:eastAsia="Arial" w:hAnsi="Arial"/>
          <w:sz w:val="22"/>
          <w:szCs w:val="22"/>
          <w:u w:val="single" w:color="auto"/>
          <w:color w:val="auto"/>
        </w:rPr>
        <w:t>transformatrice au service du développement durable, entraînant des changements individuels et collectifs</w:t>
      </w:r>
      <w:r>
        <w:rPr>
          <w:rFonts w:ascii="Arial" w:cs="Arial" w:eastAsia="Arial" w:hAnsi="Arial"/>
          <w:sz w:val="22"/>
          <w:szCs w:val="22"/>
          <w:color w:val="auto"/>
        </w:rPr>
        <w:t>.</w:t>
      </w:r>
    </w:p>
    <w:p>
      <w:pPr>
        <w:spacing w:after="0" w:line="251" w:lineRule="exact"/>
        <w:rPr>
          <w:sz w:val="24"/>
          <w:szCs w:val="24"/>
          <w:color w:val="auto"/>
        </w:rPr>
      </w:pPr>
    </w:p>
    <w:p>
      <w:pPr>
        <w:jc w:val="both"/>
        <w:ind w:left="380" w:right="420"/>
        <w:spacing w:after="0" w:line="252" w:lineRule="auto"/>
        <w:rPr>
          <w:sz w:val="20"/>
          <w:szCs w:val="20"/>
          <w:color w:val="auto"/>
        </w:rPr>
      </w:pPr>
      <w:r>
        <w:rPr>
          <w:rFonts w:ascii="Arial" w:cs="Arial" w:eastAsia="Arial" w:hAnsi="Arial"/>
          <w:sz w:val="21"/>
          <w:szCs w:val="21"/>
          <w:color w:val="auto"/>
        </w:rPr>
        <w:t>L’EDD est une éducation transformatrice en ce qu’elle permet aux apprenants de se transformer eux-mêmes ainsi que la société dans laquelle ils vivent. Le projet/programme désigné devra donc permettre aux apprenants de susciter des changements pour un monde plus juste, pacifique et durable. Cela peut signifier, par exemple, agir contre le changement climatique, changer ses habitudes de consommation, développer l’entrepreneuriat social et des modes de subsistance durables, ou appuyer ceux qui luttent contre la pauvreté.</w:t>
      </w:r>
    </w:p>
    <w:p>
      <w:pPr>
        <w:spacing w:after="0" w:line="234" w:lineRule="exact"/>
        <w:rPr>
          <w:sz w:val="24"/>
          <w:szCs w:val="24"/>
          <w:color w:val="auto"/>
        </w:rPr>
      </w:pPr>
    </w:p>
    <w:p>
      <w:pPr>
        <w:jc w:val="both"/>
        <w:ind w:left="380" w:right="420"/>
        <w:spacing w:after="0" w:line="237" w:lineRule="auto"/>
        <w:rPr>
          <w:sz w:val="20"/>
          <w:szCs w:val="20"/>
          <w:color w:val="auto"/>
        </w:rPr>
      </w:pPr>
      <w:r>
        <w:rPr>
          <w:rFonts w:ascii="Arial" w:cs="Arial" w:eastAsia="Arial" w:hAnsi="Arial"/>
          <w:sz w:val="22"/>
          <w:szCs w:val="22"/>
          <w:b w:val="1"/>
          <w:bCs w:val="1"/>
          <w:color w:val="auto"/>
        </w:rPr>
        <w:t xml:space="preserve">b. Intégration </w:t>
      </w:r>
      <w:r>
        <w:rPr>
          <w:rFonts w:ascii="Arial" w:cs="Arial" w:eastAsia="Arial" w:hAnsi="Arial"/>
          <w:sz w:val="22"/>
          <w:szCs w:val="22"/>
          <w:color w:val="auto"/>
        </w:rPr>
        <w:t>: Le projet/programme</w:t>
      </w:r>
      <w:r>
        <w:rPr>
          <w:rFonts w:ascii="Arial" w:cs="Arial" w:eastAsia="Arial" w:hAnsi="Arial"/>
          <w:sz w:val="22"/>
          <w:szCs w:val="22"/>
          <w:b w:val="1"/>
          <w:bCs w:val="1"/>
          <w:color w:val="auto"/>
        </w:rPr>
        <w:t xml:space="preserve"> </w:t>
      </w:r>
      <w:r>
        <w:rPr>
          <w:rFonts w:ascii="Arial" w:cs="Arial" w:eastAsia="Arial" w:hAnsi="Arial"/>
          <w:sz w:val="22"/>
          <w:szCs w:val="22"/>
          <w:u w:val="single" w:color="auto"/>
          <w:color w:val="auto"/>
        </w:rPr>
        <w:t>aborde les trois dimensions du développement</w:t>
      </w:r>
      <w:r>
        <w:rPr>
          <w:rFonts w:ascii="Arial" w:cs="Arial" w:eastAsia="Arial" w:hAnsi="Arial"/>
          <w:sz w:val="22"/>
          <w:szCs w:val="22"/>
          <w:b w:val="1"/>
          <w:bCs w:val="1"/>
          <w:color w:val="auto"/>
        </w:rPr>
        <w:t xml:space="preserve"> </w:t>
      </w:r>
      <w:r>
        <w:rPr>
          <w:rFonts w:ascii="Arial" w:cs="Arial" w:eastAsia="Arial" w:hAnsi="Arial"/>
          <w:sz w:val="22"/>
          <w:szCs w:val="22"/>
          <w:u w:val="single" w:color="auto"/>
          <w:color w:val="auto"/>
        </w:rPr>
        <w:t>durable (société, économie, environnement) d’une manière intégrée</w:t>
      </w:r>
      <w:r>
        <w:rPr>
          <w:rFonts w:ascii="Arial" w:cs="Arial" w:eastAsia="Arial" w:hAnsi="Arial"/>
          <w:sz w:val="22"/>
          <w:szCs w:val="22"/>
          <w:color w:val="auto"/>
        </w:rPr>
        <w:t>.</w:t>
      </w:r>
    </w:p>
    <w:p>
      <w:pPr>
        <w:spacing w:after="0" w:line="249" w:lineRule="exact"/>
        <w:rPr>
          <w:sz w:val="24"/>
          <w:szCs w:val="24"/>
          <w:color w:val="auto"/>
        </w:rPr>
      </w:pPr>
    </w:p>
    <w:p>
      <w:pPr>
        <w:jc w:val="both"/>
        <w:ind w:left="380" w:right="420"/>
        <w:spacing w:after="0" w:line="238" w:lineRule="auto"/>
        <w:rPr>
          <w:sz w:val="20"/>
          <w:szCs w:val="20"/>
          <w:color w:val="auto"/>
        </w:rPr>
      </w:pPr>
      <w:r>
        <w:rPr>
          <w:rFonts w:ascii="Arial" w:cs="Arial" w:eastAsia="Arial" w:hAnsi="Arial"/>
          <w:sz w:val="22"/>
          <w:szCs w:val="22"/>
          <w:color w:val="auto"/>
        </w:rPr>
        <w:t>Le développement durable appelle à intégrer les dimensions sociale, économique et environnementale du développement. Le projet/programme désigné devra être conforme à cette définition du développement durable. Il devra aborder les trois dimensions (société, économie, environnement) et aider les apprenants à comprendre leur interdépendance et à agir en conséquence.</w:t>
      </w:r>
    </w:p>
    <w:p>
      <w:pPr>
        <w:spacing w:after="0" w:line="20" w:lineRule="exact"/>
        <w:rPr>
          <w:sz w:val="24"/>
          <w:szCs w:val="24"/>
          <w:color w:val="auto"/>
        </w:rPr>
      </w:pPr>
      <w:r>
        <w:rPr>
          <w:sz w:val="24"/>
          <w:szCs w:val="24"/>
          <w:color w:val="auto"/>
        </w:rPr>
        <mc:AlternateContent>
          <mc:Choice Requires="wps">
            <w:drawing>
              <wp:anchor simplePos="0" relativeHeight="251657728" behindDoc="1" locked="0" layoutInCell="0" allowOverlap="1">
                <wp:simplePos x="0" y="0"/>
                <wp:positionH relativeFrom="column">
                  <wp:posOffset>-6985</wp:posOffset>
                </wp:positionH>
                <wp:positionV relativeFrom="paragraph">
                  <wp:posOffset>158115</wp:posOffset>
                </wp:positionV>
                <wp:extent cx="6109970"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099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5499pt,12.45pt" to="480.55pt,12.45pt" o:allowincell="f" strokecolor="#000000" strokeweight="0.4799pt"/>
            </w:pict>
          </mc:Fallback>
        </mc:AlternateContent>
      </w:r>
    </w:p>
    <w:p>
      <w:pPr>
        <w:sectPr>
          <w:pgSz w:w="11900" w:h="16838" w:orient="portrait"/>
          <w:cols w:equalWidth="0" w:num="1">
            <w:col w:w="9640"/>
          </w:cols>
          <w:pgMar w:left="1140" w:top="621" w:right="1126" w:bottom="840" w:gutter="0" w:footer="0" w:header="0"/>
        </w:sectPr>
      </w:pPr>
    </w:p>
    <w:p>
      <w:pPr>
        <w:ind w:left="7"/>
        <w:spacing w:after="0"/>
        <w:rPr>
          <w:sz w:val="20"/>
          <w:szCs w:val="20"/>
          <w:color w:val="auto"/>
        </w:rPr>
      </w:pPr>
      <w:r>
        <w:rPr>
          <w:rFonts w:ascii="Arial" w:cs="Arial" w:eastAsia="Arial" w:hAnsi="Arial"/>
          <w:sz w:val="22"/>
          <w:szCs w:val="22"/>
          <w:color w:val="auto"/>
        </w:rPr>
        <w:t>CL/4185</w:t>
      </w:r>
    </w:p>
    <w:p>
      <w:pPr>
        <w:ind w:left="7"/>
        <w:spacing w:after="0"/>
        <w:rPr>
          <w:sz w:val="20"/>
          <w:szCs w:val="20"/>
          <w:color w:val="auto"/>
        </w:rPr>
      </w:pPr>
      <w:r>
        <w:rPr>
          <w:rFonts w:ascii="Arial" w:cs="Arial" w:eastAsia="Arial" w:hAnsi="Arial"/>
          <w:sz w:val="22"/>
          <w:szCs w:val="22"/>
          <w:color w:val="auto"/>
        </w:rPr>
        <w:t>Annexe I – page 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157480</wp:posOffset>
                </wp:positionV>
                <wp:extent cx="6109970"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099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12.4pt" to="480.9pt,12.4pt" o:allowincell="f" strokecolor="#000000" strokeweight="0.48pt"/>
            </w:pict>
          </mc:Fallback>
        </mc:AlternateContent>
        <mc:AlternateContent>
          <mc:Choice Requires="wps">
            <w:drawing>
              <wp:anchor simplePos="0" relativeHeight="251657728" behindDoc="1" locked="0" layoutInCell="0" allowOverlap="1">
                <wp:simplePos x="0" y="0"/>
                <wp:positionH relativeFrom="column">
                  <wp:posOffset>0</wp:posOffset>
                </wp:positionH>
                <wp:positionV relativeFrom="paragraph">
                  <wp:posOffset>154305</wp:posOffset>
                </wp:positionV>
                <wp:extent cx="0" cy="1167765"/>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67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pt,12.15pt" to="0pt,104.1pt" o:allowincell="f" strokecolor="#000000" strokeweight="0.4799pt"/>
            </w:pict>
          </mc:Fallback>
        </mc:AlternateContent>
        <mc:AlternateContent>
          <mc:Choice Requires="wps">
            <w:drawing>
              <wp:anchor simplePos="0" relativeHeight="251657728" behindDoc="1" locked="0" layoutInCell="0" allowOverlap="1">
                <wp:simplePos x="0" y="0"/>
                <wp:positionH relativeFrom="column">
                  <wp:posOffset>6104255</wp:posOffset>
                </wp:positionH>
                <wp:positionV relativeFrom="paragraph">
                  <wp:posOffset>154305</wp:posOffset>
                </wp:positionV>
                <wp:extent cx="0" cy="1167765"/>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16776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0.65pt,12.15pt" to="480.65pt,104.1pt" o:allowincell="f" strokecolor="#000000" strokeweight="0.4799pt"/>
            </w:pict>
          </mc:Fallback>
        </mc:AlternateContent>
      </w:r>
    </w:p>
    <w:p>
      <w:pPr>
        <w:spacing w:after="0" w:line="228" w:lineRule="exact"/>
        <w:rPr>
          <w:sz w:val="20"/>
          <w:szCs w:val="20"/>
          <w:color w:val="auto"/>
        </w:rPr>
      </w:pPr>
    </w:p>
    <w:p>
      <w:pPr>
        <w:ind w:left="667" w:hanging="276"/>
        <w:spacing w:after="0"/>
        <w:tabs>
          <w:tab w:leader="none" w:pos="667" w:val="left"/>
        </w:tabs>
        <w:numPr>
          <w:ilvl w:val="0"/>
          <w:numId w:val="1"/>
        </w:numPr>
        <w:rPr>
          <w:rFonts w:ascii="Arial" w:cs="Arial" w:eastAsia="Arial" w:hAnsi="Arial"/>
          <w:sz w:val="22"/>
          <w:szCs w:val="22"/>
          <w:b w:val="1"/>
          <w:bCs w:val="1"/>
          <w:color w:val="auto"/>
        </w:rPr>
      </w:pPr>
      <w:r>
        <w:rPr>
          <w:rFonts w:ascii="Arial" w:cs="Arial" w:eastAsia="Arial" w:hAnsi="Arial"/>
          <w:sz w:val="22"/>
          <w:szCs w:val="22"/>
          <w:b w:val="1"/>
          <w:bCs w:val="1"/>
          <w:color w:val="auto"/>
        </w:rPr>
        <w:t xml:space="preserve">Innovation </w:t>
      </w:r>
      <w:r>
        <w:rPr>
          <w:rFonts w:ascii="Arial" w:cs="Arial" w:eastAsia="Arial" w:hAnsi="Arial"/>
          <w:sz w:val="22"/>
          <w:szCs w:val="22"/>
          <w:color w:val="auto"/>
        </w:rPr>
        <w:t>: Le projet/programme</w:t>
      </w:r>
      <w:r>
        <w:rPr>
          <w:rFonts w:ascii="Arial" w:cs="Arial" w:eastAsia="Arial" w:hAnsi="Arial"/>
          <w:sz w:val="22"/>
          <w:szCs w:val="22"/>
          <w:b w:val="1"/>
          <w:bCs w:val="1"/>
          <w:color w:val="auto"/>
        </w:rPr>
        <w:t xml:space="preserve"> </w:t>
      </w:r>
      <w:r>
        <w:rPr>
          <w:rFonts w:ascii="Arial" w:cs="Arial" w:eastAsia="Arial" w:hAnsi="Arial"/>
          <w:sz w:val="22"/>
          <w:szCs w:val="22"/>
          <w:u w:val="single" w:color="auto"/>
          <w:color w:val="auto"/>
        </w:rPr>
        <w:t>traduit une approche novatrice de l’EDD</w:t>
      </w:r>
      <w:r>
        <w:rPr>
          <w:rFonts w:ascii="Arial" w:cs="Arial" w:eastAsia="Arial" w:hAnsi="Arial"/>
          <w:sz w:val="22"/>
          <w:szCs w:val="22"/>
          <w:color w:val="auto"/>
        </w:rPr>
        <w:t>.</w:t>
      </w:r>
    </w:p>
    <w:p>
      <w:pPr>
        <w:spacing w:after="0" w:line="250" w:lineRule="exact"/>
        <w:rPr>
          <w:sz w:val="20"/>
          <w:szCs w:val="20"/>
          <w:color w:val="auto"/>
        </w:rPr>
      </w:pPr>
    </w:p>
    <w:p>
      <w:pPr>
        <w:jc w:val="both"/>
        <w:ind w:left="387" w:right="420"/>
        <w:spacing w:after="0" w:line="238" w:lineRule="auto"/>
        <w:rPr>
          <w:sz w:val="20"/>
          <w:szCs w:val="20"/>
          <w:color w:val="auto"/>
        </w:rPr>
      </w:pPr>
      <w:r>
        <w:rPr>
          <w:rFonts w:ascii="Arial" w:cs="Arial" w:eastAsia="Arial" w:hAnsi="Arial"/>
          <w:sz w:val="22"/>
          <w:szCs w:val="22"/>
          <w:color w:val="auto"/>
        </w:rPr>
        <w:t>Le développement durable exige de dépasser les habitudes et de penser différemment. Le projet/programme désigné devra traduire une approche innovante de l’EDD, que ce soit dans les thèmes qu’elle traite, la méthode qu’elle emploie ou la façon dont l’environnement d’apprentissage est conçu. Le fait d’aller vers des secteurs extérieurs à l’éducation et de travailler avec de nouveaux partenaires pourra également être un signe d’innovation.</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-2540</wp:posOffset>
                </wp:positionH>
                <wp:positionV relativeFrom="paragraph">
                  <wp:posOffset>45720</wp:posOffset>
                </wp:positionV>
                <wp:extent cx="6109970" cy="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099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999pt,3.6pt" to="480.9pt,3.6pt" o:allowincell="f" strokecolor="#000000" strokeweight="0.4799pt"/>
            </w:pict>
          </mc:Fallback>
        </mc:AlternateContent>
      </w:r>
    </w:p>
    <w:p>
      <w:pPr>
        <w:spacing w:after="0" w:line="306" w:lineRule="exact"/>
        <w:rPr>
          <w:sz w:val="20"/>
          <w:szCs w:val="20"/>
          <w:color w:val="auto"/>
        </w:rPr>
      </w:pPr>
    </w:p>
    <w:p>
      <w:pPr>
        <w:ind w:left="7"/>
        <w:spacing w:after="0"/>
        <w:rPr>
          <w:sz w:val="20"/>
          <w:szCs w:val="20"/>
          <w:color w:val="auto"/>
        </w:rPr>
      </w:pPr>
      <w:r>
        <w:rPr>
          <w:rFonts w:ascii="Arial" w:cs="Arial" w:eastAsia="Arial" w:hAnsi="Arial"/>
          <w:sz w:val="22"/>
          <w:szCs w:val="22"/>
          <w:color w:val="auto"/>
        </w:rPr>
        <w:t>En plus de répondre à ces trois critères, le projet/programme doit :</w:t>
      </w:r>
    </w:p>
    <w:p>
      <w:pPr>
        <w:spacing w:after="0" w:line="1" w:lineRule="exact"/>
        <w:rPr>
          <w:sz w:val="20"/>
          <w:szCs w:val="20"/>
          <w:color w:val="auto"/>
        </w:rPr>
      </w:pPr>
    </w:p>
    <w:p>
      <w:pPr>
        <w:ind w:left="907" w:hanging="355"/>
        <w:spacing w:after="0"/>
        <w:tabs>
          <w:tab w:leader="none" w:pos="907" w:val="left"/>
        </w:tabs>
        <w:numPr>
          <w:ilvl w:val="0"/>
          <w:numId w:val="2"/>
        </w:numPr>
        <w:rPr>
          <w:rFonts w:ascii="Wingdings" w:cs="Wingdings" w:eastAsia="Wingdings" w:hAnsi="Wingdings"/>
          <w:sz w:val="44"/>
          <w:szCs w:val="44"/>
          <w:color w:val="auto"/>
          <w:vertAlign w:val="superscript"/>
        </w:rPr>
      </w:pPr>
      <w:r>
        <w:rPr>
          <w:rFonts w:ascii="Arial" w:cs="Arial" w:eastAsia="Arial" w:hAnsi="Arial"/>
          <w:sz w:val="22"/>
          <w:szCs w:val="22"/>
          <w:color w:val="auto"/>
        </w:rPr>
        <w:t xml:space="preserve">être opérationnel depuis </w:t>
      </w:r>
      <w:r>
        <w:rPr>
          <w:rFonts w:ascii="Arial" w:cs="Arial" w:eastAsia="Arial" w:hAnsi="Arial"/>
          <w:sz w:val="22"/>
          <w:szCs w:val="22"/>
          <w:b w:val="1"/>
          <w:bCs w:val="1"/>
          <w:color w:val="auto"/>
        </w:rPr>
        <w:t>au moins quatre ans</w:t>
      </w:r>
      <w:r>
        <w:rPr>
          <w:rFonts w:ascii="Arial" w:cs="Arial" w:eastAsia="Arial" w:hAnsi="Arial"/>
          <w:sz w:val="22"/>
          <w:szCs w:val="22"/>
          <w:color w:val="auto"/>
        </w:rPr>
        <w:t xml:space="preserve"> ;</w:t>
      </w:r>
    </w:p>
    <w:p>
      <w:pPr>
        <w:spacing w:after="0" w:line="135" w:lineRule="exact"/>
        <w:rPr>
          <w:rFonts w:ascii="Wingdings" w:cs="Wingdings" w:eastAsia="Wingdings" w:hAnsi="Wingdings"/>
          <w:sz w:val="44"/>
          <w:szCs w:val="44"/>
          <w:color w:val="auto"/>
          <w:vertAlign w:val="superscript"/>
        </w:rPr>
      </w:pPr>
    </w:p>
    <w:p>
      <w:pPr>
        <w:ind w:left="907" w:hanging="355"/>
        <w:spacing w:after="0" w:line="184" w:lineRule="auto"/>
        <w:tabs>
          <w:tab w:leader="none" w:pos="907" w:val="left"/>
        </w:tabs>
        <w:numPr>
          <w:ilvl w:val="0"/>
          <w:numId w:val="2"/>
        </w:numPr>
        <w:rPr>
          <w:rFonts w:ascii="Wingdings" w:cs="Wingdings" w:eastAsia="Wingdings" w:hAnsi="Wingdings"/>
          <w:sz w:val="28"/>
          <w:szCs w:val="28"/>
          <w:color w:val="auto"/>
          <w:vertAlign w:val="superscript"/>
        </w:rPr>
      </w:pPr>
      <w:r>
        <w:rPr>
          <w:rFonts w:ascii="Arial" w:cs="Arial" w:eastAsia="Arial" w:hAnsi="Arial"/>
          <w:sz w:val="17"/>
          <w:szCs w:val="17"/>
          <w:color w:val="auto"/>
        </w:rPr>
        <w:t xml:space="preserve">faire preuve de </w:t>
      </w:r>
      <w:r>
        <w:rPr>
          <w:rFonts w:ascii="Arial" w:cs="Arial" w:eastAsia="Arial" w:hAnsi="Arial"/>
          <w:sz w:val="17"/>
          <w:szCs w:val="17"/>
          <w:b w:val="1"/>
          <w:bCs w:val="1"/>
          <w:color w:val="auto"/>
        </w:rPr>
        <w:t>résultats</w:t>
      </w:r>
      <w:r>
        <w:rPr>
          <w:rFonts w:ascii="Arial" w:cs="Arial" w:eastAsia="Arial" w:hAnsi="Arial"/>
          <w:sz w:val="17"/>
          <w:szCs w:val="17"/>
          <w:color w:val="auto"/>
        </w:rPr>
        <w:t xml:space="preserve"> et d'un </w:t>
      </w:r>
      <w:r>
        <w:rPr>
          <w:rFonts w:ascii="Arial" w:cs="Arial" w:eastAsia="Arial" w:hAnsi="Arial"/>
          <w:sz w:val="17"/>
          <w:szCs w:val="17"/>
          <w:b w:val="1"/>
          <w:bCs w:val="1"/>
          <w:color w:val="auto"/>
        </w:rPr>
        <w:t>impact élevé</w:t>
      </w:r>
      <w:r>
        <w:rPr>
          <w:rFonts w:ascii="Arial" w:cs="Arial" w:eastAsia="Arial" w:hAnsi="Arial"/>
          <w:sz w:val="17"/>
          <w:szCs w:val="17"/>
          <w:color w:val="auto"/>
        </w:rPr>
        <w:t xml:space="preserve"> par rapport aux moyens investis ;</w:t>
      </w:r>
    </w:p>
    <w:p>
      <w:pPr>
        <w:spacing w:after="0" w:line="133" w:lineRule="exact"/>
        <w:rPr>
          <w:rFonts w:ascii="Wingdings" w:cs="Wingdings" w:eastAsia="Wingdings" w:hAnsi="Wingdings"/>
          <w:sz w:val="28"/>
          <w:szCs w:val="28"/>
          <w:color w:val="auto"/>
          <w:vertAlign w:val="superscript"/>
        </w:rPr>
      </w:pPr>
    </w:p>
    <w:p>
      <w:pPr>
        <w:ind w:left="907" w:hanging="355"/>
        <w:spacing w:after="0" w:line="184" w:lineRule="auto"/>
        <w:tabs>
          <w:tab w:leader="none" w:pos="907" w:val="left"/>
        </w:tabs>
        <w:numPr>
          <w:ilvl w:val="0"/>
          <w:numId w:val="2"/>
        </w:numPr>
        <w:rPr>
          <w:rFonts w:ascii="Wingdings" w:cs="Wingdings" w:eastAsia="Wingdings" w:hAnsi="Wingdings"/>
          <w:sz w:val="28"/>
          <w:szCs w:val="28"/>
          <w:color w:val="auto"/>
          <w:vertAlign w:val="superscript"/>
        </w:rPr>
      </w:pPr>
      <w:r>
        <w:rPr>
          <w:rFonts w:ascii="Arial" w:cs="Arial" w:eastAsia="Arial" w:hAnsi="Arial"/>
          <w:sz w:val="17"/>
          <w:szCs w:val="17"/>
          <w:color w:val="auto"/>
        </w:rPr>
        <w:t xml:space="preserve">être </w:t>
      </w:r>
      <w:r>
        <w:rPr>
          <w:rFonts w:ascii="Arial" w:cs="Arial" w:eastAsia="Arial" w:hAnsi="Arial"/>
          <w:sz w:val="17"/>
          <w:szCs w:val="17"/>
          <w:b w:val="1"/>
          <w:bCs w:val="1"/>
          <w:color w:val="auto"/>
        </w:rPr>
        <w:t>reproductible et évolutif</w:t>
      </w:r>
      <w:r>
        <w:rPr>
          <w:rFonts w:ascii="Arial" w:cs="Arial" w:eastAsia="Arial" w:hAnsi="Arial"/>
          <w:sz w:val="17"/>
          <w:szCs w:val="17"/>
          <w:color w:val="auto"/>
        </w:rPr>
        <w:t xml:space="preserve"> ;</w:t>
      </w:r>
    </w:p>
    <w:p>
      <w:pPr>
        <w:spacing w:after="0" w:line="136" w:lineRule="exact"/>
        <w:rPr>
          <w:rFonts w:ascii="Wingdings" w:cs="Wingdings" w:eastAsia="Wingdings" w:hAnsi="Wingdings"/>
          <w:sz w:val="28"/>
          <w:szCs w:val="28"/>
          <w:color w:val="auto"/>
          <w:vertAlign w:val="superscript"/>
        </w:rPr>
      </w:pPr>
    </w:p>
    <w:p>
      <w:pPr>
        <w:jc w:val="both"/>
        <w:ind w:left="907" w:hanging="355"/>
        <w:spacing w:after="0" w:line="192" w:lineRule="auto"/>
        <w:tabs>
          <w:tab w:leader="none" w:pos="907" w:val="left"/>
        </w:tabs>
        <w:numPr>
          <w:ilvl w:val="0"/>
          <w:numId w:val="2"/>
        </w:numPr>
        <w:rPr>
          <w:rFonts w:ascii="Wingdings" w:cs="Wingdings" w:eastAsia="Wingdings" w:hAnsi="Wingdings"/>
          <w:sz w:val="44"/>
          <w:szCs w:val="44"/>
          <w:color w:val="auto"/>
          <w:vertAlign w:val="superscript"/>
        </w:rPr>
      </w:pPr>
      <w:r>
        <w:rPr>
          <w:rFonts w:ascii="Arial" w:cs="Arial" w:eastAsia="Arial" w:hAnsi="Arial"/>
          <w:sz w:val="22"/>
          <w:szCs w:val="22"/>
          <w:color w:val="auto"/>
        </w:rPr>
        <w:t xml:space="preserve">contribuer à </w:t>
      </w:r>
      <w:r>
        <w:rPr>
          <w:rFonts w:ascii="Arial" w:cs="Arial" w:eastAsia="Arial" w:hAnsi="Arial"/>
          <w:sz w:val="22"/>
          <w:szCs w:val="22"/>
          <w:b w:val="1"/>
          <w:bCs w:val="1"/>
          <w:color w:val="auto"/>
        </w:rPr>
        <w:t>un ou plusieurs des cinq domaines d'action prioritaires</w:t>
      </w:r>
      <w:r>
        <w:rPr>
          <w:rFonts w:ascii="Arial" w:cs="Arial" w:eastAsia="Arial" w:hAnsi="Arial"/>
          <w:sz w:val="22"/>
          <w:szCs w:val="22"/>
          <w:color w:val="auto"/>
        </w:rPr>
        <w:t xml:space="preserve"> du PAG (politiques à l'appui de l'EDD ; transformer les environnements d'apprentissage et de formation ; renforcer les capacités des éducateurs et des formateurs ; autonomiser et mobiliser les jeunes ; accélérer la recherche de solutions durables au niveau local).</w:t>
      </w:r>
    </w:p>
    <w:p>
      <w:pPr>
        <w:spacing w:after="0" w:line="239" w:lineRule="exact"/>
        <w:rPr>
          <w:sz w:val="20"/>
          <w:szCs w:val="20"/>
          <w:color w:val="auto"/>
        </w:rPr>
      </w:pPr>
    </w:p>
    <w:p>
      <w:pPr>
        <w:ind w:left="7"/>
        <w:spacing w:after="0"/>
        <w:rPr>
          <w:sz w:val="20"/>
          <w:szCs w:val="20"/>
          <w:color w:val="auto"/>
        </w:rPr>
      </w:pPr>
      <w:r>
        <w:rPr>
          <w:rFonts w:ascii="Arial" w:cs="Arial" w:eastAsia="Arial" w:hAnsi="Arial"/>
          <w:sz w:val="22"/>
          <w:szCs w:val="22"/>
          <w:b w:val="1"/>
          <w:bCs w:val="1"/>
          <w:color w:val="auto"/>
        </w:rPr>
        <w:t>Procédure de soumission</w:t>
      </w:r>
    </w:p>
    <w:p>
      <w:pPr>
        <w:spacing w:after="0" w:line="252" w:lineRule="exact"/>
        <w:rPr>
          <w:sz w:val="20"/>
          <w:szCs w:val="20"/>
          <w:color w:val="auto"/>
        </w:rPr>
      </w:pPr>
    </w:p>
    <w:p>
      <w:pPr>
        <w:jc w:val="both"/>
        <w:ind w:left="567" w:hanging="567"/>
        <w:spacing w:after="0" w:line="236" w:lineRule="auto"/>
        <w:tabs>
          <w:tab w:leader="none" w:pos="567" w:val="left"/>
        </w:tabs>
        <w:numPr>
          <w:ilvl w:val="0"/>
          <w:numId w:val="3"/>
        </w:numPr>
        <w:rPr>
          <w:rFonts w:ascii="Arial" w:cs="Arial" w:eastAsia="Arial" w:hAnsi="Arial"/>
          <w:sz w:val="22"/>
          <w:szCs w:val="22"/>
          <w:color w:val="0000FF"/>
        </w:rPr>
      </w:pPr>
      <w:r>
        <w:rPr>
          <w:rFonts w:ascii="Arial" w:cs="Arial" w:eastAsia="Arial" w:hAnsi="Arial"/>
          <w:sz w:val="22"/>
          <w:szCs w:val="22"/>
          <w:color w:val="auto"/>
        </w:rPr>
        <w:t xml:space="preserve">Le formulaire de candidature doit être renseigné en ligne, en anglais ou en français, par le biais d'une plate-forme accessible depuis le site Internet de l'UNESCO sur : </w:t>
      </w:r>
      <w:hyperlink r:id="rId10">
        <w:r>
          <w:rPr>
            <w:rFonts w:ascii="Arial" w:cs="Arial" w:eastAsia="Arial" w:hAnsi="Arial"/>
            <w:sz w:val="22"/>
            <w:szCs w:val="22"/>
            <w:u w:val="single" w:color="auto"/>
            <w:color w:val="0000FF"/>
          </w:rPr>
          <w:t>https://teams.unesco.org/org/ed/esd-prize</w:t>
        </w:r>
        <w:r>
          <w:rPr>
            <w:rFonts w:ascii="Arial" w:cs="Arial" w:eastAsia="Arial" w:hAnsi="Arial"/>
            <w:sz w:val="22"/>
            <w:szCs w:val="22"/>
            <w:color w:val="0000FF"/>
          </w:rPr>
          <w:t>.</w:t>
        </w:r>
      </w:hyperlink>
    </w:p>
    <w:p>
      <w:pPr>
        <w:spacing w:after="0" w:line="249" w:lineRule="exact"/>
        <w:rPr>
          <w:rFonts w:ascii="Arial" w:cs="Arial" w:eastAsia="Arial" w:hAnsi="Arial"/>
          <w:sz w:val="22"/>
          <w:szCs w:val="22"/>
          <w:color w:val="0000FF"/>
        </w:rPr>
      </w:pPr>
    </w:p>
    <w:p>
      <w:pPr>
        <w:jc w:val="both"/>
        <w:ind w:left="567" w:hanging="567"/>
        <w:spacing w:after="0" w:line="238" w:lineRule="auto"/>
        <w:tabs>
          <w:tab w:leader="none" w:pos="567" w:val="left"/>
        </w:tabs>
        <w:numPr>
          <w:ilvl w:val="0"/>
          <w:numId w:val="3"/>
        </w:numPr>
        <w:rPr>
          <w:rFonts w:ascii="Arial" w:cs="Arial" w:eastAsia="Arial" w:hAnsi="Arial"/>
          <w:sz w:val="22"/>
          <w:szCs w:val="22"/>
          <w:color w:val="auto"/>
        </w:rPr>
      </w:pPr>
      <w:r>
        <w:rPr>
          <w:rFonts w:ascii="Arial" w:cs="Arial" w:eastAsia="Arial" w:hAnsi="Arial"/>
          <w:sz w:val="22"/>
          <w:szCs w:val="22"/>
          <w:color w:val="auto"/>
        </w:rPr>
        <w:t xml:space="preserve">Les candidatures doivent être soumises en ligne par la </w:t>
      </w:r>
      <w:r>
        <w:rPr>
          <w:rFonts w:ascii="Arial" w:cs="Arial" w:eastAsia="Arial" w:hAnsi="Arial"/>
          <w:sz w:val="22"/>
          <w:szCs w:val="22"/>
          <w:b w:val="1"/>
          <w:bCs w:val="1"/>
          <w:color w:val="auto"/>
        </w:rPr>
        <w:t>délégation permanente auprès de</w:t>
      </w:r>
      <w:r>
        <w:rPr>
          <w:rFonts w:ascii="Arial" w:cs="Arial" w:eastAsia="Arial" w:hAnsi="Arial"/>
          <w:sz w:val="22"/>
          <w:szCs w:val="22"/>
          <w:color w:val="auto"/>
        </w:rPr>
        <w:t xml:space="preserve"> </w:t>
      </w:r>
      <w:r>
        <w:rPr>
          <w:rFonts w:ascii="Arial" w:cs="Arial" w:eastAsia="Arial" w:hAnsi="Arial"/>
          <w:sz w:val="22"/>
          <w:szCs w:val="22"/>
          <w:b w:val="1"/>
          <w:bCs w:val="1"/>
          <w:color w:val="auto"/>
        </w:rPr>
        <w:t xml:space="preserve">l'UNESCO </w:t>
      </w:r>
      <w:r>
        <w:rPr>
          <w:rFonts w:ascii="Arial" w:cs="Arial" w:eastAsia="Arial" w:hAnsi="Arial"/>
          <w:sz w:val="22"/>
          <w:szCs w:val="22"/>
          <w:color w:val="auto"/>
        </w:rPr>
        <w:t>de l'État membre concerné ou par une</w:t>
      </w:r>
      <w:r>
        <w:rPr>
          <w:rFonts w:ascii="Arial" w:cs="Arial" w:eastAsia="Arial" w:hAnsi="Arial"/>
          <w:sz w:val="22"/>
          <w:szCs w:val="22"/>
          <w:b w:val="1"/>
          <w:bCs w:val="1"/>
          <w:color w:val="auto"/>
        </w:rPr>
        <w:t xml:space="preserve"> ONG partenaire officiel de l'UNESCO</w:t>
      </w:r>
      <w:r>
        <w:rPr>
          <w:rFonts w:ascii="Arial" w:cs="Arial" w:eastAsia="Arial" w:hAnsi="Arial"/>
          <w:sz w:val="22"/>
          <w:szCs w:val="22"/>
          <w:color w:val="auto"/>
        </w:rPr>
        <w:t>, via</w:t>
      </w:r>
      <w:r>
        <w:rPr>
          <w:rFonts w:ascii="Arial" w:cs="Arial" w:eastAsia="Arial" w:hAnsi="Arial"/>
          <w:sz w:val="22"/>
          <w:szCs w:val="22"/>
          <w:b w:val="1"/>
          <w:bCs w:val="1"/>
          <w:color w:val="auto"/>
        </w:rPr>
        <w:t xml:space="preserve"> </w:t>
      </w:r>
      <w:r>
        <w:rPr>
          <w:rFonts w:ascii="Arial" w:cs="Arial" w:eastAsia="Arial" w:hAnsi="Arial"/>
          <w:sz w:val="22"/>
          <w:szCs w:val="22"/>
          <w:color w:val="auto"/>
        </w:rPr>
        <w:t>leur compte UNESTEAMS officiel. Nul ne peut présenter sa propre candidature.</w:t>
      </w:r>
    </w:p>
    <w:p>
      <w:pPr>
        <w:spacing w:after="0" w:line="245" w:lineRule="exact"/>
        <w:rPr>
          <w:rFonts w:ascii="Arial" w:cs="Arial" w:eastAsia="Arial" w:hAnsi="Arial"/>
          <w:sz w:val="22"/>
          <w:szCs w:val="22"/>
          <w:color w:val="auto"/>
        </w:rPr>
      </w:pPr>
    </w:p>
    <w:p>
      <w:pPr>
        <w:jc w:val="both"/>
        <w:ind w:left="567" w:hanging="567"/>
        <w:spacing w:after="0" w:line="238" w:lineRule="auto"/>
        <w:tabs>
          <w:tab w:leader="none" w:pos="567" w:val="left"/>
        </w:tabs>
        <w:numPr>
          <w:ilvl w:val="0"/>
          <w:numId w:val="3"/>
        </w:numPr>
        <w:rPr>
          <w:rFonts w:ascii="Arial" w:cs="Arial" w:eastAsia="Arial" w:hAnsi="Arial"/>
          <w:sz w:val="22"/>
          <w:szCs w:val="22"/>
          <w:color w:val="auto"/>
        </w:rPr>
      </w:pPr>
      <w:r>
        <w:rPr>
          <w:rFonts w:ascii="Arial" w:cs="Arial" w:eastAsia="Arial" w:hAnsi="Arial"/>
          <w:sz w:val="22"/>
          <w:szCs w:val="22"/>
          <w:color w:val="auto"/>
        </w:rPr>
        <w:t xml:space="preserve">Les </w:t>
      </w:r>
      <w:r>
        <w:rPr>
          <w:rFonts w:ascii="Arial" w:cs="Arial" w:eastAsia="Arial" w:hAnsi="Arial"/>
          <w:sz w:val="22"/>
          <w:szCs w:val="22"/>
          <w:b w:val="1"/>
          <w:bCs w:val="1"/>
          <w:color w:val="auto"/>
        </w:rPr>
        <w:t>commissions nationales auprès de l'UNESCO</w:t>
      </w:r>
      <w:r>
        <w:rPr>
          <w:rFonts w:ascii="Arial" w:cs="Arial" w:eastAsia="Arial" w:hAnsi="Arial"/>
          <w:sz w:val="22"/>
          <w:szCs w:val="22"/>
          <w:color w:val="auto"/>
        </w:rPr>
        <w:t xml:space="preserve"> peuvent accéder au formulaire en ligne et le renseigner, mais une candidature proposée par une commission nationale devra obtenir l'approbation de la délégation permanente auprès de l'UNESCO de l'État membre en question. Un message automatique de notification sera envoyé à cette fin.</w:t>
      </w:r>
    </w:p>
    <w:p>
      <w:pPr>
        <w:spacing w:after="0" w:line="252" w:lineRule="exact"/>
        <w:rPr>
          <w:rFonts w:ascii="Arial" w:cs="Arial" w:eastAsia="Arial" w:hAnsi="Arial"/>
          <w:sz w:val="22"/>
          <w:szCs w:val="22"/>
          <w:color w:val="auto"/>
        </w:rPr>
      </w:pPr>
    </w:p>
    <w:p>
      <w:pPr>
        <w:jc w:val="both"/>
        <w:ind w:left="567" w:hanging="567"/>
        <w:spacing w:after="0" w:line="238" w:lineRule="auto"/>
        <w:tabs>
          <w:tab w:leader="none" w:pos="567" w:val="left"/>
        </w:tabs>
        <w:numPr>
          <w:ilvl w:val="0"/>
          <w:numId w:val="3"/>
        </w:numPr>
        <w:rPr>
          <w:rFonts w:ascii="Arial" w:cs="Arial" w:eastAsia="Arial" w:hAnsi="Arial"/>
          <w:sz w:val="22"/>
          <w:szCs w:val="22"/>
          <w:color w:val="auto"/>
        </w:rPr>
      </w:pPr>
      <w:r>
        <w:rPr>
          <w:rFonts w:ascii="Arial" w:cs="Arial" w:eastAsia="Arial" w:hAnsi="Arial"/>
          <w:sz w:val="22"/>
          <w:szCs w:val="22"/>
          <w:color w:val="auto"/>
        </w:rPr>
        <w:t xml:space="preserve">Si une commission nationale ou une délégation permanente auprès de l'UNESCO souhaite faire remplir le formulaire par les candidats par voie électronique, l'UNESCO peut créer un compte UNESTEAMS pour chaque </w:t>
      </w:r>
      <w:r>
        <w:rPr>
          <w:rFonts w:ascii="Arial" w:cs="Arial" w:eastAsia="Arial" w:hAnsi="Arial"/>
          <w:sz w:val="22"/>
          <w:szCs w:val="22"/>
          <w:b w:val="1"/>
          <w:bCs w:val="1"/>
          <w:color w:val="auto"/>
        </w:rPr>
        <w:t>candidat</w:t>
      </w:r>
      <w:r>
        <w:rPr>
          <w:rFonts w:ascii="Arial" w:cs="Arial" w:eastAsia="Arial" w:hAnsi="Arial"/>
          <w:sz w:val="22"/>
          <w:szCs w:val="22"/>
          <w:color w:val="auto"/>
        </w:rPr>
        <w:t xml:space="preserve">. Une demande devra être envoyée en ce sens à </w:t>
      </w:r>
      <w:hyperlink r:id="rId11">
        <w:r>
          <w:rPr>
            <w:rFonts w:ascii="Arial" w:cs="Arial" w:eastAsia="Arial" w:hAnsi="Arial"/>
            <w:sz w:val="22"/>
            <w:szCs w:val="22"/>
            <w:u w:val="single" w:color="auto"/>
            <w:color w:val="0000FF"/>
          </w:rPr>
          <w:t>esdprize@unesco.org</w:t>
        </w:r>
        <w:r>
          <w:rPr>
            <w:rFonts w:ascii="Arial" w:cs="Arial" w:eastAsia="Arial" w:hAnsi="Arial"/>
            <w:sz w:val="22"/>
            <w:szCs w:val="22"/>
            <w:u w:val="single" w:color="auto"/>
            <w:color w:val="auto"/>
          </w:rPr>
          <w:t xml:space="preserve"> </w:t>
        </w:r>
      </w:hyperlink>
      <w:r>
        <w:rPr>
          <w:rFonts w:ascii="Arial" w:cs="Arial" w:eastAsia="Arial" w:hAnsi="Arial"/>
          <w:sz w:val="22"/>
          <w:szCs w:val="22"/>
          <w:color w:val="auto"/>
        </w:rPr>
        <w:t>avant le 14 avril 2017. Lorsque l’auteur de la soumission aura renseigné le formulaire en ligne, la commission nationale et la délégation permanente concernées en seront informées par courriel et elles pourront examiner la candidature avant de la soumettre à l'UNESCO.</w:t>
      </w:r>
    </w:p>
    <w:p>
      <w:pPr>
        <w:spacing w:after="0" w:line="252" w:lineRule="exact"/>
        <w:rPr>
          <w:rFonts w:ascii="Arial" w:cs="Arial" w:eastAsia="Arial" w:hAnsi="Arial"/>
          <w:sz w:val="22"/>
          <w:szCs w:val="22"/>
          <w:color w:val="auto"/>
        </w:rPr>
      </w:pPr>
    </w:p>
    <w:p>
      <w:pPr>
        <w:jc w:val="both"/>
        <w:ind w:left="567" w:hanging="567"/>
        <w:spacing w:after="0" w:line="238" w:lineRule="auto"/>
        <w:tabs>
          <w:tab w:leader="none" w:pos="567" w:val="left"/>
        </w:tabs>
        <w:numPr>
          <w:ilvl w:val="0"/>
          <w:numId w:val="3"/>
        </w:numPr>
        <w:rPr>
          <w:rFonts w:ascii="Arial" w:cs="Arial" w:eastAsia="Arial" w:hAnsi="Arial"/>
          <w:sz w:val="22"/>
          <w:szCs w:val="22"/>
          <w:color w:val="auto"/>
        </w:rPr>
      </w:pPr>
      <w:r>
        <w:rPr>
          <w:rFonts w:ascii="Arial" w:cs="Arial" w:eastAsia="Arial" w:hAnsi="Arial"/>
          <w:sz w:val="22"/>
          <w:szCs w:val="22"/>
          <w:color w:val="auto"/>
        </w:rPr>
        <w:t xml:space="preserve">Le projet/programme du candidat devra être présenté de façon </w:t>
      </w:r>
      <w:r>
        <w:rPr>
          <w:rFonts w:ascii="Arial" w:cs="Arial" w:eastAsia="Arial" w:hAnsi="Arial"/>
          <w:sz w:val="22"/>
          <w:szCs w:val="22"/>
          <w:b w:val="1"/>
          <w:bCs w:val="1"/>
          <w:color w:val="auto"/>
        </w:rPr>
        <w:t>claire et structurée</w:t>
      </w:r>
      <w:r>
        <w:rPr>
          <w:rFonts w:ascii="Arial" w:cs="Arial" w:eastAsia="Arial" w:hAnsi="Arial"/>
          <w:sz w:val="22"/>
          <w:szCs w:val="22"/>
          <w:color w:val="auto"/>
        </w:rPr>
        <w:t xml:space="preserve">, conformément aux instructions indiquées dans le formulaire, en respectant la limite de mots indiquée. Tous les </w:t>
      </w:r>
      <w:r>
        <w:rPr>
          <w:rFonts w:ascii="Arial" w:cs="Arial" w:eastAsia="Arial" w:hAnsi="Arial"/>
          <w:sz w:val="22"/>
          <w:szCs w:val="22"/>
          <w:b w:val="1"/>
          <w:bCs w:val="1"/>
          <w:color w:val="auto"/>
        </w:rPr>
        <w:t>documents d'appui</w:t>
      </w:r>
      <w:r>
        <w:rPr>
          <w:rFonts w:ascii="Arial" w:cs="Arial" w:eastAsia="Arial" w:hAnsi="Arial"/>
          <w:sz w:val="22"/>
          <w:szCs w:val="22"/>
          <w:color w:val="auto"/>
        </w:rPr>
        <w:t xml:space="preserve"> (ex. publications, photos, vidéos) devront être transmis par voie électronique via le système en ligne.</w:t>
      </w:r>
    </w:p>
    <w:p>
      <w:pPr>
        <w:spacing w:after="0" w:line="249" w:lineRule="exact"/>
        <w:rPr>
          <w:rFonts w:ascii="Arial" w:cs="Arial" w:eastAsia="Arial" w:hAnsi="Arial"/>
          <w:sz w:val="22"/>
          <w:szCs w:val="22"/>
          <w:color w:val="auto"/>
        </w:rPr>
      </w:pPr>
    </w:p>
    <w:p>
      <w:pPr>
        <w:jc w:val="both"/>
        <w:ind w:left="567" w:hanging="567"/>
        <w:spacing w:after="0" w:line="238" w:lineRule="auto"/>
        <w:tabs>
          <w:tab w:leader="none" w:pos="567" w:val="left"/>
        </w:tabs>
        <w:numPr>
          <w:ilvl w:val="0"/>
          <w:numId w:val="3"/>
        </w:numPr>
        <w:rPr>
          <w:rFonts w:ascii="Arial" w:cs="Arial" w:eastAsia="Arial" w:hAnsi="Arial"/>
          <w:sz w:val="22"/>
          <w:szCs w:val="22"/>
          <w:color w:val="auto"/>
        </w:rPr>
      </w:pPr>
      <w:r>
        <w:rPr>
          <w:rFonts w:ascii="Arial" w:cs="Arial" w:eastAsia="Arial" w:hAnsi="Arial"/>
          <w:sz w:val="22"/>
          <w:szCs w:val="22"/>
          <w:color w:val="auto"/>
        </w:rPr>
        <w:t xml:space="preserve">Les candidatures doivent être validées dans le système en ligne par les délégations permanentes auprès de l'UNESCO concernées ou par l'ONG au plus tard </w:t>
      </w:r>
      <w:r>
        <w:rPr>
          <w:rFonts w:ascii="Arial" w:cs="Arial" w:eastAsia="Arial" w:hAnsi="Arial"/>
          <w:sz w:val="22"/>
          <w:szCs w:val="22"/>
          <w:b w:val="1"/>
          <w:bCs w:val="1"/>
          <w:u w:val="single" w:color="auto"/>
          <w:color w:val="auto"/>
        </w:rPr>
        <w:t>le 2 mai 2017 à</w:t>
      </w:r>
      <w:r>
        <w:rPr>
          <w:rFonts w:ascii="Arial" w:cs="Arial" w:eastAsia="Arial" w:hAnsi="Arial"/>
          <w:sz w:val="22"/>
          <w:szCs w:val="22"/>
          <w:color w:val="auto"/>
        </w:rPr>
        <w:t xml:space="preserve"> </w:t>
      </w:r>
      <w:r>
        <w:rPr>
          <w:rFonts w:ascii="Arial" w:cs="Arial" w:eastAsia="Arial" w:hAnsi="Arial"/>
          <w:sz w:val="22"/>
          <w:szCs w:val="22"/>
          <w:b w:val="1"/>
          <w:bCs w:val="1"/>
          <w:u w:val="single" w:color="auto"/>
          <w:color w:val="auto"/>
        </w:rPr>
        <w:t>minuit</w:t>
      </w:r>
      <w:r>
        <w:rPr>
          <w:rFonts w:ascii="Arial" w:cs="Arial" w:eastAsia="Arial" w:hAnsi="Arial"/>
          <w:sz w:val="22"/>
          <w:szCs w:val="22"/>
          <w:b w:val="1"/>
          <w:bCs w:val="1"/>
          <w:color w:val="auto"/>
        </w:rPr>
        <w:t xml:space="preserve"> </w:t>
      </w:r>
      <w:r>
        <w:rPr>
          <w:rFonts w:ascii="Arial" w:cs="Arial" w:eastAsia="Arial" w:hAnsi="Arial"/>
          <w:sz w:val="22"/>
          <w:szCs w:val="22"/>
          <w:color w:val="auto"/>
        </w:rPr>
        <w:t>(TU+1, heure de Paris). Notez que chaque délégation permanente ou ONG ne peut</w:t>
      </w:r>
      <w:r>
        <w:rPr>
          <w:rFonts w:ascii="Arial" w:cs="Arial" w:eastAsia="Arial" w:hAnsi="Arial"/>
          <w:sz w:val="22"/>
          <w:szCs w:val="22"/>
          <w:b w:val="1"/>
          <w:bCs w:val="1"/>
          <w:color w:val="auto"/>
        </w:rPr>
        <w:t xml:space="preserve"> </w:t>
      </w:r>
      <w:r>
        <w:rPr>
          <w:rFonts w:ascii="Arial" w:cs="Arial" w:eastAsia="Arial" w:hAnsi="Arial"/>
          <w:sz w:val="22"/>
          <w:szCs w:val="22"/>
          <w:color w:val="auto"/>
        </w:rPr>
        <w:t>pas soumettre plus de trois candidatures. Les candidatures supplémentaires ne seront pas prises en considération.</w:t>
      </w:r>
    </w:p>
    <w:p>
      <w:pPr>
        <w:spacing w:after="0" w:line="250" w:lineRule="exact"/>
        <w:rPr>
          <w:rFonts w:ascii="Arial" w:cs="Arial" w:eastAsia="Arial" w:hAnsi="Arial"/>
          <w:sz w:val="22"/>
          <w:szCs w:val="22"/>
          <w:color w:val="auto"/>
        </w:rPr>
      </w:pPr>
    </w:p>
    <w:p>
      <w:pPr>
        <w:jc w:val="both"/>
        <w:ind w:left="567" w:hanging="567"/>
        <w:spacing w:after="0" w:line="237" w:lineRule="auto"/>
        <w:tabs>
          <w:tab w:leader="none" w:pos="567" w:val="left"/>
        </w:tabs>
        <w:numPr>
          <w:ilvl w:val="0"/>
          <w:numId w:val="3"/>
        </w:numPr>
        <w:rPr>
          <w:rFonts w:ascii="Arial" w:cs="Arial" w:eastAsia="Arial" w:hAnsi="Arial"/>
          <w:sz w:val="22"/>
          <w:szCs w:val="22"/>
          <w:color w:val="auto"/>
        </w:rPr>
      </w:pPr>
      <w:r>
        <w:rPr>
          <w:rFonts w:ascii="Arial" w:cs="Arial" w:eastAsia="Arial" w:hAnsi="Arial"/>
          <w:sz w:val="22"/>
          <w:szCs w:val="22"/>
          <w:color w:val="auto"/>
        </w:rPr>
        <w:t xml:space="preserve">Pour toute question relative au Prix UNESCO-Japon EDD ou au processus de soumission, vous pouvez contacter le Secrétariat du Prix au sein de la Section de l’éducation en vue du développement durable et de la citoyenneté mondiale à l'UNESCO : Mme Miriam Tereick ; tél. : +33 (0) 1 45 68 16 68 ; e-mail : </w:t>
      </w:r>
      <w:hyperlink r:id="rId11">
        <w:r>
          <w:rPr>
            <w:rFonts w:ascii="Arial" w:cs="Arial" w:eastAsia="Arial" w:hAnsi="Arial"/>
            <w:sz w:val="22"/>
            <w:szCs w:val="22"/>
            <w:u w:val="single" w:color="auto"/>
            <w:color w:val="0000FF"/>
          </w:rPr>
          <w:t>esdprize@unesco.org</w:t>
        </w:r>
        <w:r>
          <w:rPr>
            <w:rFonts w:ascii="Arial" w:cs="Arial" w:eastAsia="Arial" w:hAnsi="Arial"/>
            <w:sz w:val="22"/>
            <w:szCs w:val="22"/>
            <w:u w:val="single" w:color="auto"/>
            <w:color w:val="auto"/>
          </w:rPr>
          <w:t>.</w:t>
        </w:r>
      </w:hyperlink>
    </w:p>
    <w:p>
      <w:pPr>
        <w:sectPr>
          <w:pgSz w:w="11900" w:h="16838" w:orient="portrait"/>
          <w:cols w:equalWidth="0" w:num="1">
            <w:col w:w="9647"/>
          </w:cols>
          <w:pgMar w:left="1133" w:top="621" w:right="1126" w:bottom="433" w:gutter="0" w:footer="0" w:header="0"/>
        </w:sectPr>
      </w:pPr>
    </w:p>
    <w:p>
      <w:pPr>
        <w:ind w:left="7660"/>
        <w:spacing w:after="0"/>
        <w:rPr>
          <w:sz w:val="20"/>
          <w:szCs w:val="20"/>
          <w:color w:val="auto"/>
        </w:rPr>
      </w:pPr>
      <w:r>
        <w:rPr>
          <w:rFonts w:ascii="Arial" w:cs="Arial" w:eastAsia="Arial" w:hAnsi="Arial"/>
          <w:sz w:val="22"/>
          <w:szCs w:val="22"/>
          <w:color w:val="auto"/>
        </w:rPr>
        <w:t>CL/4185</w:t>
      </w:r>
    </w:p>
    <w:p>
      <w:pPr>
        <w:ind w:left="7660"/>
        <w:spacing w:after="0"/>
        <w:rPr>
          <w:sz w:val="20"/>
          <w:szCs w:val="20"/>
          <w:color w:val="auto"/>
        </w:rPr>
      </w:pPr>
      <w:r>
        <w:rPr>
          <w:rFonts w:ascii="Arial" w:cs="Arial" w:eastAsia="Arial" w:hAnsi="Arial"/>
          <w:sz w:val="22"/>
          <w:szCs w:val="22"/>
          <w:color w:val="auto"/>
        </w:rPr>
        <w:t>Annexe I – page 3</w:t>
      </w:r>
    </w:p>
    <w:p>
      <w:pPr>
        <w:spacing w:after="0" w:line="23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Prix UNESCO-Japon d’éducation en vue du développement durable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-22225</wp:posOffset>
                </wp:positionH>
                <wp:positionV relativeFrom="paragraph">
                  <wp:posOffset>2540</wp:posOffset>
                </wp:positionV>
                <wp:extent cx="6157595" cy="20447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6157595" cy="204470"/>
                        </a:xfrm>
                        <a:prstGeom prst="rect">
                          <a:avLst/>
                        </a:prstGeom>
                        <a:solidFill>
                          <a:srgbClr val="8DB3E2"/>
                        </a:solidFill>
                      </wps:spPr>
                      <wps:bodyPr/>
                    </wps:wsp>
                  </a:graphicData>
                </a:graphic>
              </wp:anchor>
            </w:drawing>
          </mc:Choice>
          <mc:Fallback>
            <w:pict>
              <v:rect id="Shape 11" o:spid="_x0000_s1036" style="position:absolute;margin-left:-1.7499pt;margin-top:0.2pt;width:484.85pt;height:16.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8DB3E2" stroked="f"/>
            </w:pict>
          </mc:Fallback>
        </mc:AlternateContent>
      </w:r>
    </w:p>
    <w:p>
      <w:pPr>
        <w:spacing w:after="0"/>
        <w:rPr>
          <w:sz w:val="20"/>
          <w:szCs w:val="20"/>
          <w:color w:val="auto"/>
        </w:rPr>
      </w:pPr>
      <w:r>
        <w:rPr>
          <w:rFonts w:ascii="Arial" w:cs="Arial" w:eastAsia="Arial" w:hAnsi="Arial"/>
          <w:sz w:val="28"/>
          <w:szCs w:val="28"/>
          <w:b w:val="1"/>
          <w:bCs w:val="1"/>
          <w:color w:val="auto"/>
        </w:rPr>
        <w:t>Appel à candidatures 2017</w:t>
      </w:r>
    </w:p>
    <w:p>
      <w:pPr>
        <w:spacing w:after="0"/>
        <w:rPr>
          <w:sz w:val="20"/>
          <w:szCs w:val="20"/>
          <w:color w:val="auto"/>
        </w:rPr>
      </w:pPr>
      <w:r>
        <w:rPr>
          <w:rFonts w:ascii="Arial" w:cs="Arial" w:eastAsia="Arial" w:hAnsi="Arial"/>
          <w:sz w:val="28"/>
          <w:szCs w:val="28"/>
          <w:b w:val="1"/>
          <w:bCs w:val="1"/>
          <w:color w:val="auto"/>
        </w:rPr>
        <w:t>Formulaire de candidature</w:t>
      </w:r>
    </w:p>
    <w:p>
      <w:pPr>
        <w:spacing w:after="0" w:line="9" w:lineRule="exact"/>
        <w:rPr>
          <w:sz w:val="20"/>
          <w:szCs w:val="20"/>
          <w:color w:val="auto"/>
        </w:rPr>
      </w:pPr>
    </w:p>
    <w:p>
      <w:pPr>
        <w:ind w:right="520"/>
        <w:spacing w:after="0" w:line="236" w:lineRule="auto"/>
        <w:rPr>
          <w:rFonts w:ascii="Arial" w:cs="Arial" w:eastAsia="Arial" w:hAnsi="Arial"/>
          <w:sz w:val="22"/>
          <w:szCs w:val="22"/>
          <w:color w:val="auto"/>
        </w:rPr>
      </w:pPr>
      <w:r>
        <w:rPr>
          <w:rFonts w:ascii="Arial" w:cs="Arial" w:eastAsia="Arial" w:hAnsi="Arial"/>
          <w:sz w:val="22"/>
          <w:szCs w:val="22"/>
          <w:color w:val="auto"/>
        </w:rPr>
        <w:t xml:space="preserve">(Ce formulaire n'est fourni qu'à titre d'information, toutes les candidatures devant être soumises exclusivement en ligne via une plate-forme accessible sur : </w:t>
      </w:r>
      <w:hyperlink r:id="rId12">
        <w:r>
          <w:rPr>
            <w:rFonts w:ascii="Arial" w:cs="Arial" w:eastAsia="Arial" w:hAnsi="Arial"/>
            <w:sz w:val="22"/>
            <w:szCs w:val="22"/>
            <w:u w:val="single" w:color="auto"/>
            <w:color w:val="0000FF"/>
          </w:rPr>
          <w:t>http://unesco.org/esd</w:t>
        </w:r>
        <w:r>
          <w:rPr>
            <w:rFonts w:ascii="Arial" w:cs="Arial" w:eastAsia="Arial" w:hAnsi="Arial"/>
            <w:sz w:val="22"/>
            <w:szCs w:val="22"/>
            <w:u w:val="single" w:color="auto"/>
            <w:color w:val="auto"/>
          </w:rPr>
          <w:t>)</w:t>
        </w:r>
      </w:hyperlink>
    </w:p>
    <w:p>
      <w:pPr>
        <w:spacing w:after="0" w:line="331" w:lineRule="exact"/>
        <w:rPr>
          <w:sz w:val="20"/>
          <w:szCs w:val="20"/>
          <w:color w:val="auto"/>
        </w:rPr>
      </w:pPr>
    </w:p>
    <w:p>
      <w:pPr>
        <w:ind w:right="1440"/>
        <w:spacing w:after="0" w:line="236" w:lineRule="auto"/>
        <w:rPr>
          <w:sz w:val="20"/>
          <w:szCs w:val="20"/>
          <w:color w:val="auto"/>
        </w:rPr>
      </w:pPr>
      <w:r>
        <w:rPr>
          <w:rFonts w:ascii="Arial" w:cs="Arial" w:eastAsia="Arial" w:hAnsi="Arial"/>
          <w:sz w:val="22"/>
          <w:szCs w:val="22"/>
          <w:i w:val="1"/>
          <w:iCs w:val="1"/>
          <w:color w:val="auto"/>
        </w:rPr>
        <w:t>Merci de présenter le projet/programme du candidat de façon claire et structurée. Veillez à ce que toutes les zones du formulaire soient renseignées conformément aux instructions données, en respectant la limite de mots indiquée. Veuillez noter que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5327015</wp:posOffset>
            </wp:positionH>
            <wp:positionV relativeFrom="paragraph">
              <wp:posOffset>-437515</wp:posOffset>
            </wp:positionV>
            <wp:extent cx="1044575" cy="77914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extLst>
                    </a:blip>
                    <a:srcRect/>
                    <a:stretch>
                      <a:fillRect/>
                    </a:stretch>
                  </pic:blipFill>
                  <pic:spPr bwMode="auto">
                    <a:xfrm>
                      <a:off x="0" y="0"/>
                      <a:ext cx="1044575" cy="779145"/>
                    </a:xfrm>
                    <a:prstGeom prst="rect">
                      <a:avLst/>
                    </a:prstGeom>
                    <a:noFill/>
                  </pic:spPr>
                </pic:pic>
              </a:graphicData>
            </a:graphic>
          </wp:anchor>
        </w:drawing>
      </w:r>
    </w:p>
    <w:p>
      <w:pPr>
        <w:spacing w:after="0"/>
        <w:rPr>
          <w:sz w:val="20"/>
          <w:szCs w:val="20"/>
          <w:color w:val="auto"/>
        </w:rPr>
      </w:pPr>
      <w:r>
        <w:rPr>
          <w:rFonts w:ascii="Arial" w:cs="Arial" w:eastAsia="Arial" w:hAnsi="Arial"/>
          <w:sz w:val="22"/>
          <w:szCs w:val="22"/>
          <w:i w:val="1"/>
          <w:iCs w:val="1"/>
          <w:color w:val="auto"/>
        </w:rPr>
        <w:t>tout texte dépassant le nombre de mots autorisé ne sera pas pris en compte par le jury.</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188595</wp:posOffset>
            </wp:positionV>
            <wp:extent cx="6214745" cy="687578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extLst>
                    </a:blip>
                    <a:srcRect/>
                    <a:stretch>
                      <a:fillRect/>
                    </a:stretch>
                  </pic:blipFill>
                  <pic:spPr bwMode="auto">
                    <a:xfrm>
                      <a:off x="0" y="0"/>
                      <a:ext cx="6214745" cy="6875780"/>
                    </a:xfrm>
                    <a:prstGeom prst="rect">
                      <a:avLst/>
                    </a:prstGeom>
                    <a:noFill/>
                  </pic:spPr>
                </pic:pic>
              </a:graphicData>
            </a:graphic>
          </wp:anchor>
        </w:drawing>
      </w:r>
    </w:p>
    <w:p>
      <w:pPr>
        <w:spacing w:after="0" w:line="281" w:lineRule="exact"/>
        <w:rPr>
          <w:sz w:val="20"/>
          <w:szCs w:val="20"/>
          <w:color w:val="auto"/>
        </w:rPr>
      </w:pPr>
    </w:p>
    <w:p>
      <w:pPr>
        <w:ind w:left="360" w:hanging="252"/>
        <w:spacing w:after="0"/>
        <w:tabs>
          <w:tab w:leader="none" w:pos="360" w:val="left"/>
        </w:tabs>
        <w:numPr>
          <w:ilvl w:val="0"/>
          <w:numId w:val="4"/>
        </w:numPr>
        <w:rPr>
          <w:rFonts w:ascii="Arial" w:cs="Arial" w:eastAsia="Arial" w:hAnsi="Arial"/>
          <w:sz w:val="22"/>
          <w:szCs w:val="22"/>
          <w:b w:val="1"/>
          <w:bCs w:val="1"/>
          <w:color w:val="auto"/>
        </w:rPr>
      </w:pPr>
      <w:r>
        <w:rPr>
          <w:rFonts w:ascii="Arial" w:cs="Arial" w:eastAsia="Arial" w:hAnsi="Arial"/>
          <w:sz w:val="22"/>
          <w:szCs w:val="22"/>
          <w:b w:val="1"/>
          <w:bCs w:val="1"/>
          <w:color w:val="auto"/>
        </w:rPr>
        <w:t>SOUMISSION</w:t>
      </w:r>
    </w:p>
    <w:p>
      <w:pPr>
        <w:spacing w:after="0" w:line="13" w:lineRule="exact"/>
        <w:rPr>
          <w:rFonts w:ascii="Arial" w:cs="Arial" w:eastAsia="Arial" w:hAnsi="Arial"/>
          <w:sz w:val="22"/>
          <w:szCs w:val="22"/>
          <w:b w:val="1"/>
          <w:bCs w:val="1"/>
          <w:color w:val="auto"/>
        </w:rPr>
      </w:pPr>
    </w:p>
    <w:p>
      <w:pPr>
        <w:ind w:left="100"/>
        <w:spacing w:after="0"/>
        <w:rPr>
          <w:rFonts w:ascii="Arial" w:cs="Arial" w:eastAsia="Arial" w:hAnsi="Arial"/>
          <w:sz w:val="22"/>
          <w:szCs w:val="22"/>
          <w:b w:val="1"/>
          <w:bCs w:val="1"/>
          <w:color w:val="auto"/>
        </w:rPr>
      </w:pPr>
      <w:r>
        <w:rPr>
          <w:rFonts w:ascii="Arial" w:cs="Arial" w:eastAsia="Arial" w:hAnsi="Arial"/>
          <w:sz w:val="22"/>
          <w:szCs w:val="22"/>
          <w:color w:val="auto"/>
        </w:rPr>
        <w:t>Candidature établie par :</w:t>
      </w:r>
    </w:p>
    <w:p>
      <w:pPr>
        <w:ind w:left="120"/>
        <w:spacing w:after="0" w:line="236" w:lineRule="auto"/>
        <w:rPr>
          <w:rFonts w:ascii="Arial" w:cs="Arial" w:eastAsia="Arial" w:hAnsi="Arial"/>
          <w:sz w:val="22"/>
          <w:szCs w:val="22"/>
          <w:b w:val="1"/>
          <w:bCs w:val="1"/>
          <w:color w:val="auto"/>
        </w:rPr>
      </w:pPr>
      <w:r>
        <w:rPr>
          <w:rFonts w:ascii="Arial" w:cs="Arial" w:eastAsia="Arial" w:hAnsi="Arial"/>
          <w:sz w:val="1"/>
          <w:szCs w:val="1"/>
          <w:b w:val="1"/>
          <w:bCs w:val="1"/>
          <w:color w:val="auto"/>
        </w:rPr>
        <w:drawing>
          <wp:inline distT="0" distB="0" distL="0" distR="0">
            <wp:extent cx="140335" cy="1238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r>
      <w:r>
        <w:rPr>
          <w:rFonts w:ascii="Arial" w:cs="Arial" w:eastAsia="Arial" w:hAnsi="Arial"/>
          <w:sz w:val="22"/>
          <w:szCs w:val="22"/>
          <w:color w:val="auto"/>
        </w:rPr>
        <w:t xml:space="preserve"> État membre, Pays :</w:t>
      </w:r>
    </w:p>
    <w:p>
      <w:pPr>
        <w:ind w:left="120"/>
        <w:spacing w:after="0"/>
        <w:rPr>
          <w:rFonts w:ascii="Arial" w:cs="Arial" w:eastAsia="Arial" w:hAnsi="Arial"/>
          <w:sz w:val="22"/>
          <w:szCs w:val="22"/>
          <w:b w:val="1"/>
          <w:bCs w:val="1"/>
          <w:color w:val="auto"/>
        </w:rPr>
      </w:pPr>
      <w:r>
        <w:rPr>
          <w:rFonts w:ascii="Arial" w:cs="Arial" w:eastAsia="Arial" w:hAnsi="Arial"/>
          <w:sz w:val="1"/>
          <w:szCs w:val="1"/>
          <w:b w:val="1"/>
          <w:bCs w:val="1"/>
          <w:color w:val="auto"/>
        </w:rPr>
        <w:drawing>
          <wp:inline distT="0" distB="0" distL="0" distR="0">
            <wp:extent cx="140335" cy="1238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r>
      <w:r>
        <w:rPr>
          <w:rFonts w:ascii="Arial" w:cs="Arial" w:eastAsia="Arial" w:hAnsi="Arial"/>
          <w:sz w:val="22"/>
          <w:szCs w:val="22"/>
          <w:color w:val="auto"/>
        </w:rPr>
        <w:t xml:space="preserve"> Organisation non gouvernementale en partenariat officiel avec l’UNESCO (ONG), Nom :</w:t>
      </w:r>
    </w:p>
    <w:p>
      <w:pPr>
        <w:spacing w:after="0" w:line="267" w:lineRule="exact"/>
        <w:rPr>
          <w:sz w:val="20"/>
          <w:szCs w:val="20"/>
          <w:color w:val="auto"/>
        </w:rPr>
      </w:pPr>
    </w:p>
    <w:tbl>
      <w:tblPr>
        <w:tblLayout w:type="fixed"/>
        <w:tblInd w:w="0" w:type="dxa"/>
        <w:tblCellMar>
          <w:top w:w="0" w:type="dxa"/>
          <w:left w:w="0" w:type="dxa"/>
          <w:bottom w:w="0" w:type="dxa"/>
          <w:right w:w="0" w:type="dxa"/>
        </w:tblCellMar>
      </w:tblPr>
      <w:tr>
        <w:trPr>
          <w:trHeight w:val="253"/>
        </w:trPr>
        <w:tc>
          <w:tcPr>
            <w:tcW w:w="5300" w:type="dxa"/>
            <w:vAlign w:val="bottom"/>
          </w:tcPr>
          <w:p>
            <w:pPr>
              <w:ind w:left="100"/>
              <w:spacing w:after="0"/>
              <w:rPr>
                <w:sz w:val="20"/>
                <w:szCs w:val="20"/>
                <w:color w:val="auto"/>
              </w:rPr>
            </w:pPr>
            <w:r>
              <w:rPr>
                <w:rFonts w:ascii="Arial" w:cs="Arial" w:eastAsia="Arial" w:hAnsi="Arial"/>
                <w:sz w:val="22"/>
                <w:szCs w:val="22"/>
                <w:color w:val="auto"/>
              </w:rPr>
              <w:t>Nom de l'auteur de la soumission :</w:t>
            </w:r>
          </w:p>
        </w:tc>
        <w:tc>
          <w:tcPr>
            <w:tcW w:w="4480" w:type="dxa"/>
            <w:vAlign w:val="bottom"/>
          </w:tcPr>
          <w:p>
            <w:pPr>
              <w:ind w:left="140"/>
              <w:spacing w:after="0"/>
              <w:rPr>
                <w:sz w:val="20"/>
                <w:szCs w:val="20"/>
                <w:color w:val="auto"/>
              </w:rPr>
            </w:pPr>
            <w:r>
              <w:rPr>
                <w:rFonts w:ascii="Arial" w:cs="Arial" w:eastAsia="Arial" w:hAnsi="Arial"/>
                <w:sz w:val="22"/>
                <w:szCs w:val="22"/>
                <w:color w:val="auto"/>
              </w:rPr>
              <w:t>Fonction :</w:t>
            </w:r>
          </w:p>
        </w:tc>
      </w:tr>
      <w:tr>
        <w:trPr>
          <w:trHeight w:val="253"/>
        </w:trPr>
        <w:tc>
          <w:tcPr>
            <w:tcW w:w="5300" w:type="dxa"/>
            <w:vAlign w:val="bottom"/>
            <w:tcBorders>
              <w:bottom w:val="single" w:sz="8" w:color="auto"/>
            </w:tcBorders>
          </w:tcPr>
          <w:p>
            <w:pPr>
              <w:ind w:left="100"/>
              <w:spacing w:after="0"/>
              <w:rPr>
                <w:sz w:val="20"/>
                <w:szCs w:val="20"/>
                <w:color w:val="auto"/>
              </w:rPr>
            </w:pPr>
            <w:r>
              <w:rPr>
                <w:rFonts w:ascii="Arial" w:cs="Arial" w:eastAsia="Arial" w:hAnsi="Arial"/>
                <w:sz w:val="22"/>
                <w:szCs w:val="22"/>
                <w:color w:val="auto"/>
              </w:rPr>
              <w:t>E-mail :</w:t>
            </w:r>
          </w:p>
        </w:tc>
        <w:tc>
          <w:tcPr>
            <w:tcW w:w="4480" w:type="dxa"/>
            <w:vAlign w:val="bottom"/>
            <w:tcBorders>
              <w:bottom w:val="single" w:sz="8" w:color="auto"/>
            </w:tcBorders>
          </w:tcPr>
          <w:p>
            <w:pPr>
              <w:ind w:left="140"/>
              <w:spacing w:after="0"/>
              <w:rPr>
                <w:sz w:val="20"/>
                <w:szCs w:val="20"/>
                <w:color w:val="auto"/>
              </w:rPr>
            </w:pPr>
            <w:r>
              <w:rPr>
                <w:rFonts w:ascii="Arial" w:cs="Arial" w:eastAsia="Arial" w:hAnsi="Arial"/>
                <w:sz w:val="22"/>
                <w:szCs w:val="22"/>
                <w:color w:val="auto"/>
              </w:rPr>
              <w:t>Téléphone :</w:t>
            </w:r>
          </w:p>
        </w:tc>
      </w:tr>
      <w:tr>
        <w:trPr>
          <w:trHeight w:val="245"/>
        </w:trPr>
        <w:tc>
          <w:tcPr>
            <w:tcW w:w="5300" w:type="dxa"/>
            <w:vAlign w:val="bottom"/>
            <w:shd w:val="clear" w:color="auto" w:fill="BFBFBF"/>
          </w:tcPr>
          <w:p>
            <w:pPr>
              <w:ind w:left="100"/>
              <w:spacing w:after="0" w:line="245" w:lineRule="exact"/>
              <w:rPr>
                <w:sz w:val="20"/>
                <w:szCs w:val="20"/>
                <w:color w:val="auto"/>
              </w:rPr>
            </w:pPr>
            <w:r>
              <w:rPr>
                <w:rFonts w:ascii="Arial" w:cs="Arial" w:eastAsia="Arial" w:hAnsi="Arial"/>
                <w:sz w:val="22"/>
                <w:szCs w:val="22"/>
                <w:b w:val="1"/>
                <w:bCs w:val="1"/>
                <w:color w:val="auto"/>
              </w:rPr>
              <w:t>Déclaration d'appui de l'auteur de la soumission</w:t>
            </w:r>
          </w:p>
        </w:tc>
        <w:tc>
          <w:tcPr>
            <w:tcW w:w="4480" w:type="dxa"/>
            <w:vAlign w:val="bottom"/>
            <w:shd w:val="clear" w:color="auto" w:fill="BFBFBF"/>
          </w:tcPr>
          <w:p>
            <w:pPr>
              <w:spacing w:after="0"/>
              <w:rPr>
                <w:sz w:val="21"/>
                <w:szCs w:val="21"/>
                <w:color w:val="auto"/>
              </w:rPr>
            </w:pPr>
          </w:p>
        </w:tc>
      </w:tr>
    </w:tbl>
    <w:p>
      <w:pPr>
        <w:spacing w:after="0" w:line="15" w:lineRule="exact"/>
        <w:rPr>
          <w:sz w:val="20"/>
          <w:szCs w:val="20"/>
          <w:color w:val="auto"/>
        </w:rPr>
      </w:pPr>
    </w:p>
    <w:p>
      <w:pPr>
        <w:ind w:left="100" w:right="2500"/>
        <w:spacing w:after="0" w:line="236" w:lineRule="auto"/>
        <w:rPr>
          <w:sz w:val="20"/>
          <w:szCs w:val="20"/>
          <w:color w:val="auto"/>
        </w:rPr>
      </w:pPr>
      <w:r>
        <w:rPr>
          <w:rFonts w:ascii="Arial" w:cs="Arial" w:eastAsia="Arial" w:hAnsi="Arial"/>
          <w:sz w:val="22"/>
          <w:szCs w:val="22"/>
          <w:i w:val="1"/>
          <w:iCs w:val="1"/>
          <w:color w:val="auto"/>
        </w:rPr>
        <w:t xml:space="preserve">[Merci de compléter la phrase suivante, en 250 caractères au maximum :] </w:t>
      </w:r>
      <w:r>
        <w:rPr>
          <w:rFonts w:ascii="Arial" w:cs="Arial" w:eastAsia="Arial" w:hAnsi="Arial"/>
          <w:sz w:val="22"/>
          <w:szCs w:val="22"/>
          <w:color w:val="auto"/>
        </w:rPr>
        <w:t>Le candidat mérite de recevoir le Prix UNESCO-Japon EDD parce que…</w:t>
      </w:r>
    </w:p>
    <w:p>
      <w:pPr>
        <w:spacing w:after="0" w:line="200" w:lineRule="exact"/>
        <w:rPr>
          <w:sz w:val="20"/>
          <w:szCs w:val="20"/>
          <w:color w:val="auto"/>
        </w:rPr>
      </w:pPr>
    </w:p>
    <w:p>
      <w:pPr>
        <w:spacing w:after="0" w:line="325" w:lineRule="exact"/>
        <w:rPr>
          <w:sz w:val="20"/>
          <w:szCs w:val="20"/>
          <w:color w:val="auto"/>
        </w:rPr>
      </w:pPr>
    </w:p>
    <w:p>
      <w:pPr>
        <w:ind w:left="100" w:right="360"/>
        <w:spacing w:after="0" w:line="237" w:lineRule="auto"/>
        <w:rPr>
          <w:sz w:val="20"/>
          <w:szCs w:val="20"/>
          <w:color w:val="auto"/>
        </w:rPr>
      </w:pPr>
      <w:r>
        <w:rPr>
          <w:rFonts w:ascii="Arial" w:cs="Arial" w:eastAsia="Arial" w:hAnsi="Arial"/>
          <w:sz w:val="22"/>
          <w:szCs w:val="22"/>
          <w:color w:val="auto"/>
        </w:rPr>
        <w:t>Le candidat et l’auteur de la soumission acceptent que, même si le projet nominé ne sera pas parmi les trois lauréats sélectionnés, un sommaire du projet et toute photo jointe à ce formulaire pourraient être publiés sur le site Web de l’UNESCO en tant que bonnes pratiques dans le domaine de l’EDD.</w:t>
      </w:r>
    </w:p>
    <w:p>
      <w:pPr>
        <w:ind w:left="120"/>
        <w:spacing w:after="0"/>
        <w:rPr>
          <w:sz w:val="20"/>
          <w:szCs w:val="20"/>
          <w:color w:val="auto"/>
        </w:rPr>
      </w:pPr>
      <w:r>
        <w:rPr>
          <w:sz w:val="1"/>
          <w:szCs w:val="1"/>
          <w:color w:val="auto"/>
        </w:rPr>
        <w:drawing>
          <wp:inline distT="0" distB="0" distL="0" distR="0">
            <wp:extent cx="140335" cy="123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drawing>
          <wp:inline distT="0" distB="0" distL="0" distR="0">
            <wp:extent cx="8890" cy="123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extLst>
                        <a:ext uri="{28A0092B-C50C-407E-A947-70E740481C1C}"/>
                      </a:extLst>
                    </a:blip>
                    <a:srcRect/>
                    <a:stretch>
                      <a:fillRect/>
                    </a:stretch>
                  </pic:blipFill>
                  <pic:spPr bwMode="auto">
                    <a:xfrm>
                      <a:off x="0" y="0"/>
                      <a:ext cx="8890" cy="123825"/>
                    </a:xfrm>
                    <a:prstGeom prst="rect">
                      <a:avLst/>
                    </a:prstGeom>
                    <a:noFill/>
                    <a:ln>
                      <a:noFill/>
                    </a:ln>
                  </pic:spPr>
                </pic:pic>
              </a:graphicData>
            </a:graphic>
          </wp:inline>
        </w:drawing>
      </w:r>
      <w:r>
        <w:rPr>
          <w:rFonts w:ascii="Arial" w:cs="Arial" w:eastAsia="Arial" w:hAnsi="Arial"/>
          <w:sz w:val="22"/>
          <w:szCs w:val="22"/>
          <w:color w:val="auto"/>
        </w:rPr>
        <w:t xml:space="preserve"> Oui </w:t>
      </w:r>
      <w:r>
        <w:rPr>
          <w:sz w:val="1"/>
          <w:szCs w:val="1"/>
          <w:color w:val="auto"/>
        </w:rPr>
        <w:drawing>
          <wp:inline distT="0" distB="0" distL="0" distR="0">
            <wp:extent cx="140335" cy="123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extLst>
                    </a:blip>
                    <a:srcRect/>
                    <a:stretch>
                      <a:fillRect/>
                    </a:stretch>
                  </pic:blipFill>
                  <pic:spPr bwMode="auto">
                    <a:xfrm>
                      <a:off x="0" y="0"/>
                      <a:ext cx="140335" cy="123825"/>
                    </a:xfrm>
                    <a:prstGeom prst="rect">
                      <a:avLst/>
                    </a:prstGeom>
                    <a:noFill/>
                    <a:ln>
                      <a:noFill/>
                    </a:ln>
                  </pic:spPr>
                </pic:pic>
              </a:graphicData>
            </a:graphic>
          </wp:inline>
        </w:drawing>
      </w:r>
      <w:r>
        <w:rPr>
          <w:rFonts w:ascii="Arial" w:cs="Arial" w:eastAsia="Arial" w:hAnsi="Arial"/>
          <w:sz w:val="22"/>
          <w:szCs w:val="22"/>
          <w:color w:val="auto"/>
        </w:rPr>
        <w:t xml:space="preserve"> Non</w:t>
      </w:r>
    </w:p>
    <w:p>
      <w:pPr>
        <w:spacing w:after="0" w:line="275"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2. CANDIDAT</w:t>
      </w:r>
    </w:p>
    <w:tbl>
      <w:tblPr>
        <w:tblLayout w:type="fixed"/>
        <w:tblInd w:w="0" w:type="dxa"/>
        <w:tblCellMar>
          <w:top w:w="0" w:type="dxa"/>
          <w:left w:w="0" w:type="dxa"/>
          <w:bottom w:w="0" w:type="dxa"/>
          <w:right w:w="0" w:type="dxa"/>
        </w:tblCellMar>
      </w:tblPr>
      <w:tr>
        <w:trPr>
          <w:trHeight w:val="245"/>
        </w:trPr>
        <w:tc>
          <w:tcPr>
            <w:tcW w:w="3380" w:type="dxa"/>
            <w:vAlign w:val="bottom"/>
            <w:tcBorders>
              <w:top w:val="single" w:sz="8" w:color="auto"/>
              <w:right w:val="single" w:sz="8" w:color="auto"/>
            </w:tcBorders>
          </w:tcPr>
          <w:p>
            <w:pPr>
              <w:ind w:left="100"/>
              <w:spacing w:after="0" w:line="245" w:lineRule="exact"/>
              <w:rPr>
                <w:sz w:val="20"/>
                <w:szCs w:val="20"/>
                <w:color w:val="auto"/>
              </w:rPr>
            </w:pPr>
            <w:r>
              <w:rPr>
                <w:rFonts w:ascii="Arial" w:cs="Arial" w:eastAsia="Arial" w:hAnsi="Arial"/>
                <w:sz w:val="22"/>
                <w:szCs w:val="22"/>
                <w:color w:val="auto"/>
              </w:rPr>
              <w:t>Type de candidat :</w:t>
            </w:r>
          </w:p>
        </w:tc>
        <w:tc>
          <w:tcPr>
            <w:tcW w:w="6400" w:type="dxa"/>
            <w:vAlign w:val="bottom"/>
            <w:tcBorders>
              <w:top w:val="single" w:sz="8" w:color="auto"/>
            </w:tcBorders>
          </w:tcPr>
          <w:p>
            <w:pPr>
              <w:ind w:left="420"/>
              <w:spacing w:after="0" w:line="245" w:lineRule="exact"/>
              <w:rPr>
                <w:sz w:val="20"/>
                <w:szCs w:val="20"/>
                <w:color w:val="auto"/>
              </w:rPr>
            </w:pPr>
            <w:r>
              <w:rPr>
                <w:rFonts w:ascii="Arial" w:cs="Arial" w:eastAsia="Arial" w:hAnsi="Arial"/>
                <w:sz w:val="22"/>
                <w:szCs w:val="22"/>
                <w:color w:val="auto"/>
              </w:rPr>
              <w:t>Personne</w:t>
            </w:r>
          </w:p>
        </w:tc>
      </w:tr>
      <w:tr>
        <w:trPr>
          <w:trHeight w:val="254"/>
        </w:trPr>
        <w:tc>
          <w:tcPr>
            <w:tcW w:w="3380" w:type="dxa"/>
            <w:vAlign w:val="bottom"/>
            <w:tcBorders>
              <w:right w:val="single" w:sz="8" w:color="auto"/>
            </w:tcBorders>
          </w:tcPr>
          <w:p>
            <w:pPr>
              <w:spacing w:after="0"/>
              <w:rPr>
                <w:sz w:val="22"/>
                <w:szCs w:val="22"/>
                <w:color w:val="auto"/>
              </w:rPr>
            </w:pPr>
          </w:p>
        </w:tc>
        <w:tc>
          <w:tcPr>
            <w:tcW w:w="6400" w:type="dxa"/>
            <w:vAlign w:val="bottom"/>
          </w:tcPr>
          <w:p>
            <w:pPr>
              <w:ind w:left="420"/>
              <w:spacing w:after="0"/>
              <w:rPr>
                <w:sz w:val="20"/>
                <w:szCs w:val="20"/>
                <w:color w:val="auto"/>
              </w:rPr>
            </w:pPr>
            <w:r>
              <w:rPr>
                <w:rFonts w:ascii="Arial" w:cs="Arial" w:eastAsia="Arial" w:hAnsi="Arial"/>
                <w:sz w:val="22"/>
                <w:szCs w:val="22"/>
                <w:color w:val="auto"/>
              </w:rPr>
              <w:t xml:space="preserve">Organisation </w:t>
            </w:r>
            <w:r>
              <w:rPr>
                <w:rFonts w:ascii="Arial" w:cs="Arial" w:eastAsia="Arial" w:hAnsi="Arial"/>
                <w:sz w:val="22"/>
                <w:szCs w:val="22"/>
                <w:i w:val="1"/>
                <w:iCs w:val="1"/>
                <w:color w:val="auto"/>
              </w:rPr>
              <w:t>[veuillez préciser le type d’organisation</w:t>
            </w:r>
            <w:r>
              <w:rPr>
                <w:rFonts w:ascii="Arial" w:cs="Arial" w:eastAsia="Arial" w:hAnsi="Arial"/>
                <w:sz w:val="22"/>
                <w:szCs w:val="22"/>
                <w:color w:val="auto"/>
              </w:rPr>
              <w:t xml:space="preserve"> </w:t>
            </w:r>
            <w:r>
              <w:rPr>
                <w:rFonts w:ascii="Arial" w:cs="Arial" w:eastAsia="Arial" w:hAnsi="Arial"/>
                <w:sz w:val="22"/>
                <w:szCs w:val="22"/>
                <w:i w:val="1"/>
                <w:iCs w:val="1"/>
                <w:color w:val="auto"/>
              </w:rPr>
              <w:t>:]</w:t>
            </w:r>
          </w:p>
        </w:tc>
      </w:tr>
      <w:tr>
        <w:trPr>
          <w:trHeight w:val="252"/>
        </w:trPr>
        <w:tc>
          <w:tcPr>
            <w:tcW w:w="3380" w:type="dxa"/>
            <w:vAlign w:val="bottom"/>
            <w:tcBorders>
              <w:right w:val="single" w:sz="8" w:color="auto"/>
            </w:tcBorders>
          </w:tcPr>
          <w:p>
            <w:pPr>
              <w:spacing w:after="0"/>
              <w:rPr>
                <w:sz w:val="21"/>
                <w:szCs w:val="21"/>
                <w:color w:val="auto"/>
              </w:rPr>
            </w:pPr>
          </w:p>
        </w:tc>
        <w:tc>
          <w:tcPr>
            <w:tcW w:w="6400" w:type="dxa"/>
            <w:vAlign w:val="bottom"/>
          </w:tcPr>
          <w:p>
            <w:pPr>
              <w:ind w:left="940"/>
              <w:spacing w:after="0"/>
              <w:rPr>
                <w:sz w:val="20"/>
                <w:szCs w:val="20"/>
                <w:color w:val="auto"/>
              </w:rPr>
            </w:pPr>
            <w:r>
              <w:rPr>
                <w:rFonts w:ascii="Arial" w:cs="Arial" w:eastAsia="Arial" w:hAnsi="Arial"/>
                <w:sz w:val="22"/>
                <w:szCs w:val="22"/>
                <w:color w:val="auto"/>
              </w:rPr>
              <w:t>Gouvernement</w:t>
            </w:r>
          </w:p>
        </w:tc>
      </w:tr>
      <w:tr>
        <w:trPr>
          <w:trHeight w:val="254"/>
        </w:trPr>
        <w:tc>
          <w:tcPr>
            <w:tcW w:w="3380" w:type="dxa"/>
            <w:vAlign w:val="bottom"/>
            <w:tcBorders>
              <w:right w:val="single" w:sz="8" w:color="auto"/>
            </w:tcBorders>
          </w:tcPr>
          <w:p>
            <w:pPr>
              <w:spacing w:after="0"/>
              <w:rPr>
                <w:sz w:val="22"/>
                <w:szCs w:val="22"/>
                <w:color w:val="auto"/>
              </w:rPr>
            </w:pPr>
          </w:p>
        </w:tc>
        <w:tc>
          <w:tcPr>
            <w:tcW w:w="6400" w:type="dxa"/>
            <w:vAlign w:val="bottom"/>
          </w:tcPr>
          <w:p>
            <w:pPr>
              <w:ind w:left="940"/>
              <w:spacing w:after="0"/>
              <w:rPr>
                <w:sz w:val="20"/>
                <w:szCs w:val="20"/>
                <w:color w:val="auto"/>
              </w:rPr>
            </w:pPr>
            <w:r>
              <w:rPr>
                <w:rFonts w:ascii="Arial" w:cs="Arial" w:eastAsia="Arial" w:hAnsi="Arial"/>
                <w:sz w:val="22"/>
                <w:szCs w:val="22"/>
                <w:color w:val="auto"/>
              </w:rPr>
              <w:t>Organisation internationale</w:t>
            </w:r>
          </w:p>
        </w:tc>
      </w:tr>
      <w:tr>
        <w:trPr>
          <w:trHeight w:val="252"/>
        </w:trPr>
        <w:tc>
          <w:tcPr>
            <w:tcW w:w="3380" w:type="dxa"/>
            <w:vAlign w:val="bottom"/>
            <w:tcBorders>
              <w:right w:val="single" w:sz="8" w:color="auto"/>
            </w:tcBorders>
          </w:tcPr>
          <w:p>
            <w:pPr>
              <w:spacing w:after="0"/>
              <w:rPr>
                <w:sz w:val="21"/>
                <w:szCs w:val="21"/>
                <w:color w:val="auto"/>
              </w:rPr>
            </w:pPr>
          </w:p>
        </w:tc>
        <w:tc>
          <w:tcPr>
            <w:tcW w:w="6400" w:type="dxa"/>
            <w:vAlign w:val="bottom"/>
          </w:tcPr>
          <w:p>
            <w:pPr>
              <w:ind w:left="940"/>
              <w:spacing w:after="0"/>
              <w:rPr>
                <w:sz w:val="20"/>
                <w:szCs w:val="20"/>
                <w:color w:val="auto"/>
              </w:rPr>
            </w:pPr>
            <w:r>
              <w:rPr>
                <w:rFonts w:ascii="Arial" w:cs="Arial" w:eastAsia="Arial" w:hAnsi="Arial"/>
                <w:sz w:val="22"/>
                <w:szCs w:val="22"/>
                <w:color w:val="auto"/>
              </w:rPr>
              <w:t>Organisation de la société civile</w:t>
            </w:r>
          </w:p>
        </w:tc>
      </w:tr>
      <w:tr>
        <w:trPr>
          <w:trHeight w:val="252"/>
        </w:trPr>
        <w:tc>
          <w:tcPr>
            <w:tcW w:w="3380" w:type="dxa"/>
            <w:vAlign w:val="bottom"/>
            <w:tcBorders>
              <w:right w:val="single" w:sz="8" w:color="auto"/>
            </w:tcBorders>
          </w:tcPr>
          <w:p>
            <w:pPr>
              <w:spacing w:after="0"/>
              <w:rPr>
                <w:sz w:val="21"/>
                <w:szCs w:val="21"/>
                <w:color w:val="auto"/>
              </w:rPr>
            </w:pPr>
          </w:p>
        </w:tc>
        <w:tc>
          <w:tcPr>
            <w:tcW w:w="6400" w:type="dxa"/>
            <w:vAlign w:val="bottom"/>
          </w:tcPr>
          <w:p>
            <w:pPr>
              <w:ind w:left="940"/>
              <w:spacing w:after="0"/>
              <w:rPr>
                <w:sz w:val="20"/>
                <w:szCs w:val="20"/>
                <w:color w:val="auto"/>
              </w:rPr>
            </w:pPr>
            <w:r>
              <w:rPr>
                <w:rFonts w:ascii="Arial" w:cs="Arial" w:eastAsia="Arial" w:hAnsi="Arial"/>
                <w:sz w:val="22"/>
                <w:szCs w:val="22"/>
                <w:color w:val="auto"/>
              </w:rPr>
              <w:t>Organisation commerciale</w:t>
            </w:r>
          </w:p>
        </w:tc>
      </w:tr>
      <w:tr>
        <w:trPr>
          <w:trHeight w:val="254"/>
        </w:trPr>
        <w:tc>
          <w:tcPr>
            <w:tcW w:w="3380" w:type="dxa"/>
            <w:vAlign w:val="bottom"/>
            <w:tcBorders>
              <w:right w:val="single" w:sz="8" w:color="auto"/>
            </w:tcBorders>
          </w:tcPr>
          <w:p>
            <w:pPr>
              <w:spacing w:after="0"/>
              <w:rPr>
                <w:sz w:val="22"/>
                <w:szCs w:val="22"/>
                <w:color w:val="auto"/>
              </w:rPr>
            </w:pPr>
          </w:p>
        </w:tc>
        <w:tc>
          <w:tcPr>
            <w:tcW w:w="6400" w:type="dxa"/>
            <w:vAlign w:val="bottom"/>
          </w:tcPr>
          <w:p>
            <w:pPr>
              <w:ind w:left="940"/>
              <w:spacing w:after="0"/>
              <w:rPr>
                <w:sz w:val="20"/>
                <w:szCs w:val="20"/>
                <w:color w:val="auto"/>
              </w:rPr>
            </w:pPr>
            <w:r>
              <w:rPr>
                <w:rFonts w:ascii="Arial" w:cs="Arial" w:eastAsia="Arial" w:hAnsi="Arial"/>
                <w:sz w:val="22"/>
                <w:szCs w:val="22"/>
                <w:color w:val="auto"/>
              </w:rPr>
              <w:t>Média</w:t>
            </w:r>
          </w:p>
        </w:tc>
      </w:tr>
      <w:tr>
        <w:trPr>
          <w:trHeight w:val="252"/>
        </w:trPr>
        <w:tc>
          <w:tcPr>
            <w:tcW w:w="3380" w:type="dxa"/>
            <w:vAlign w:val="bottom"/>
            <w:tcBorders>
              <w:right w:val="single" w:sz="8" w:color="auto"/>
            </w:tcBorders>
          </w:tcPr>
          <w:p>
            <w:pPr>
              <w:spacing w:after="0"/>
              <w:rPr>
                <w:sz w:val="21"/>
                <w:szCs w:val="21"/>
                <w:color w:val="auto"/>
              </w:rPr>
            </w:pPr>
          </w:p>
        </w:tc>
        <w:tc>
          <w:tcPr>
            <w:tcW w:w="6400" w:type="dxa"/>
            <w:vAlign w:val="bottom"/>
          </w:tcPr>
          <w:p>
            <w:pPr>
              <w:ind w:left="940"/>
              <w:spacing w:after="0"/>
              <w:rPr>
                <w:sz w:val="20"/>
                <w:szCs w:val="20"/>
                <w:color w:val="auto"/>
              </w:rPr>
            </w:pPr>
            <w:r>
              <w:rPr>
                <w:rFonts w:ascii="Arial" w:cs="Arial" w:eastAsia="Arial" w:hAnsi="Arial"/>
                <w:sz w:val="22"/>
                <w:szCs w:val="22"/>
                <w:color w:val="auto"/>
              </w:rPr>
              <w:t>Institution d’enseignement supérieur ou de recherche</w:t>
            </w:r>
          </w:p>
        </w:tc>
      </w:tr>
      <w:tr>
        <w:trPr>
          <w:trHeight w:val="254"/>
        </w:trPr>
        <w:tc>
          <w:tcPr>
            <w:tcW w:w="3380" w:type="dxa"/>
            <w:vAlign w:val="bottom"/>
            <w:tcBorders>
              <w:right w:val="single" w:sz="8" w:color="auto"/>
            </w:tcBorders>
          </w:tcPr>
          <w:p>
            <w:pPr>
              <w:spacing w:after="0"/>
              <w:rPr>
                <w:sz w:val="22"/>
                <w:szCs w:val="22"/>
                <w:color w:val="auto"/>
              </w:rPr>
            </w:pPr>
          </w:p>
        </w:tc>
        <w:tc>
          <w:tcPr>
            <w:tcW w:w="6400" w:type="dxa"/>
            <w:vAlign w:val="bottom"/>
          </w:tcPr>
          <w:p>
            <w:pPr>
              <w:ind w:left="940"/>
              <w:spacing w:after="0"/>
              <w:rPr>
                <w:sz w:val="20"/>
                <w:szCs w:val="20"/>
                <w:color w:val="auto"/>
              </w:rPr>
            </w:pPr>
            <w:r>
              <w:rPr>
                <w:rFonts w:ascii="Arial" w:cs="Arial" w:eastAsia="Arial" w:hAnsi="Arial"/>
                <w:sz w:val="22"/>
                <w:szCs w:val="22"/>
                <w:color w:val="auto"/>
              </w:rPr>
              <w:t>Institution d’éducation</w:t>
            </w:r>
          </w:p>
        </w:tc>
      </w:tr>
      <w:tr>
        <w:trPr>
          <w:trHeight w:val="253"/>
        </w:trPr>
        <w:tc>
          <w:tcPr>
            <w:tcW w:w="3380" w:type="dxa"/>
            <w:vAlign w:val="bottom"/>
            <w:tcBorders>
              <w:bottom w:val="single" w:sz="8" w:color="auto"/>
              <w:right w:val="single" w:sz="8" w:color="auto"/>
            </w:tcBorders>
          </w:tcPr>
          <w:p>
            <w:pPr>
              <w:spacing w:after="0"/>
              <w:rPr>
                <w:sz w:val="22"/>
                <w:szCs w:val="22"/>
                <w:color w:val="auto"/>
              </w:rPr>
            </w:pPr>
          </w:p>
        </w:tc>
        <w:tc>
          <w:tcPr>
            <w:tcW w:w="6400" w:type="dxa"/>
            <w:vAlign w:val="bottom"/>
            <w:tcBorders>
              <w:bottom w:val="single" w:sz="8" w:color="auto"/>
            </w:tcBorders>
          </w:tcPr>
          <w:p>
            <w:pPr>
              <w:ind w:left="940"/>
              <w:spacing w:after="0"/>
              <w:rPr>
                <w:sz w:val="20"/>
                <w:szCs w:val="20"/>
                <w:color w:val="auto"/>
              </w:rPr>
            </w:pPr>
            <w:r>
              <w:rPr>
                <w:rFonts w:ascii="Arial" w:cs="Arial" w:eastAsia="Arial" w:hAnsi="Arial"/>
                <w:sz w:val="22"/>
                <w:szCs w:val="22"/>
                <w:color w:val="auto"/>
              </w:rPr>
              <w:t xml:space="preserve">Autre </w:t>
            </w:r>
            <w:r>
              <w:rPr>
                <w:rFonts w:ascii="Arial" w:cs="Arial" w:eastAsia="Arial" w:hAnsi="Arial"/>
                <w:sz w:val="22"/>
                <w:szCs w:val="22"/>
                <w:i w:val="1"/>
                <w:iCs w:val="1"/>
                <w:color w:val="auto"/>
              </w:rPr>
              <w:t>[préciser]</w:t>
            </w:r>
          </w:p>
        </w:tc>
      </w:tr>
      <w:tr>
        <w:trPr>
          <w:trHeight w:val="244"/>
        </w:trPr>
        <w:tc>
          <w:tcPr>
            <w:tcW w:w="3380" w:type="dxa"/>
            <w:vAlign w:val="bottom"/>
            <w:tcBorders>
              <w:bottom w:val="single" w:sz="8" w:color="auto"/>
              <w:right w:val="single" w:sz="8" w:color="auto"/>
            </w:tcBorders>
          </w:tcPr>
          <w:p>
            <w:pPr>
              <w:ind w:left="100"/>
              <w:spacing w:after="0" w:line="244" w:lineRule="exact"/>
              <w:rPr>
                <w:sz w:val="20"/>
                <w:szCs w:val="20"/>
                <w:color w:val="auto"/>
              </w:rPr>
            </w:pPr>
            <w:r>
              <w:rPr>
                <w:rFonts w:ascii="Arial" w:cs="Arial" w:eastAsia="Arial" w:hAnsi="Arial"/>
                <w:sz w:val="22"/>
                <w:szCs w:val="22"/>
                <w:color w:val="auto"/>
              </w:rPr>
              <w:t>Nom du candidat</w:t>
            </w:r>
          </w:p>
        </w:tc>
        <w:tc>
          <w:tcPr>
            <w:tcW w:w="6400" w:type="dxa"/>
            <w:vAlign w:val="bottom"/>
            <w:tcBorders>
              <w:bottom w:val="single" w:sz="8" w:color="auto"/>
            </w:tcBorders>
          </w:tcPr>
          <w:p>
            <w:pPr>
              <w:spacing w:after="0"/>
              <w:rPr>
                <w:sz w:val="21"/>
                <w:szCs w:val="21"/>
                <w:color w:val="auto"/>
              </w:rPr>
            </w:pPr>
          </w:p>
        </w:tc>
      </w:tr>
      <w:tr>
        <w:trPr>
          <w:trHeight w:val="243"/>
        </w:trPr>
        <w:tc>
          <w:tcPr>
            <w:tcW w:w="338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Personne à contacter</w:t>
            </w:r>
          </w:p>
        </w:tc>
        <w:tc>
          <w:tcPr>
            <w:tcW w:w="6400" w:type="dxa"/>
            <w:vAlign w:val="bottom"/>
            <w:tcBorders>
              <w:bottom w:val="single" w:sz="8" w:color="auto"/>
            </w:tcBorders>
          </w:tcPr>
          <w:p>
            <w:pPr>
              <w:spacing w:after="0"/>
              <w:rPr>
                <w:sz w:val="21"/>
                <w:szCs w:val="21"/>
                <w:color w:val="auto"/>
              </w:rPr>
            </w:pPr>
          </w:p>
        </w:tc>
      </w:tr>
      <w:tr>
        <w:trPr>
          <w:trHeight w:val="242"/>
        </w:trPr>
        <w:tc>
          <w:tcPr>
            <w:tcW w:w="3380" w:type="dxa"/>
            <w:vAlign w:val="bottom"/>
            <w:tcBorders>
              <w:right w:val="single" w:sz="8" w:color="auto"/>
            </w:tcBorders>
          </w:tcPr>
          <w:p>
            <w:pPr>
              <w:ind w:left="100"/>
              <w:spacing w:after="0" w:line="242" w:lineRule="exact"/>
              <w:rPr>
                <w:sz w:val="20"/>
                <w:szCs w:val="20"/>
                <w:color w:val="auto"/>
              </w:rPr>
            </w:pPr>
            <w:r>
              <w:rPr>
                <w:rFonts w:ascii="Arial" w:cs="Arial" w:eastAsia="Arial" w:hAnsi="Arial"/>
                <w:sz w:val="22"/>
                <w:szCs w:val="22"/>
                <w:color w:val="auto"/>
              </w:rPr>
              <w:t>Fonction</w:t>
            </w:r>
          </w:p>
        </w:tc>
        <w:tc>
          <w:tcPr>
            <w:tcW w:w="6400" w:type="dxa"/>
            <w:vAlign w:val="bottom"/>
          </w:tcPr>
          <w:p>
            <w:pPr>
              <w:ind w:left="100"/>
              <w:spacing w:after="0" w:line="242" w:lineRule="exact"/>
              <w:rPr>
                <w:sz w:val="20"/>
                <w:szCs w:val="20"/>
                <w:color w:val="auto"/>
              </w:rPr>
            </w:pPr>
            <w:r>
              <w:rPr>
                <w:rFonts w:ascii="Arial" w:cs="Arial" w:eastAsia="Arial" w:hAnsi="Arial"/>
                <w:sz w:val="22"/>
                <w:szCs w:val="22"/>
                <w:i w:val="1"/>
                <w:iCs w:val="1"/>
                <w:color w:val="auto"/>
              </w:rPr>
              <w:t>[ex. directeur, chef de projet]</w:t>
            </w:r>
          </w:p>
        </w:tc>
      </w:tr>
      <w:tr>
        <w:trPr>
          <w:trHeight w:val="256"/>
        </w:trPr>
        <w:tc>
          <w:tcPr>
            <w:tcW w:w="3380" w:type="dxa"/>
            <w:vAlign w:val="bottom"/>
            <w:tcBorders>
              <w:bottom w:val="single" w:sz="8" w:color="auto"/>
              <w:right w:val="single" w:sz="8" w:color="auto"/>
            </w:tcBorders>
          </w:tcPr>
          <w:p>
            <w:pPr>
              <w:spacing w:after="0"/>
              <w:rPr>
                <w:sz w:val="22"/>
                <w:szCs w:val="22"/>
                <w:color w:val="auto"/>
              </w:rPr>
            </w:pPr>
          </w:p>
        </w:tc>
        <w:tc>
          <w:tcPr>
            <w:tcW w:w="6400" w:type="dxa"/>
            <w:vAlign w:val="bottom"/>
            <w:tcBorders>
              <w:bottom w:val="single" w:sz="8" w:color="auto"/>
            </w:tcBorders>
          </w:tcPr>
          <w:p>
            <w:pPr>
              <w:spacing w:after="0"/>
              <w:rPr>
                <w:sz w:val="22"/>
                <w:szCs w:val="22"/>
                <w:color w:val="auto"/>
              </w:rPr>
            </w:pPr>
          </w:p>
        </w:tc>
      </w:tr>
      <w:tr>
        <w:trPr>
          <w:trHeight w:val="241"/>
        </w:trPr>
        <w:tc>
          <w:tcPr>
            <w:tcW w:w="3380" w:type="dxa"/>
            <w:vAlign w:val="bottom"/>
            <w:tcBorders>
              <w:bottom w:val="single" w:sz="8" w:color="auto"/>
              <w:right w:val="single" w:sz="8" w:color="auto"/>
            </w:tcBorders>
          </w:tcPr>
          <w:p>
            <w:pPr>
              <w:ind w:left="100"/>
              <w:spacing w:after="0" w:line="241" w:lineRule="exact"/>
              <w:rPr>
                <w:sz w:val="20"/>
                <w:szCs w:val="20"/>
                <w:color w:val="auto"/>
              </w:rPr>
            </w:pPr>
            <w:r>
              <w:rPr>
                <w:rFonts w:ascii="Arial" w:cs="Arial" w:eastAsia="Arial" w:hAnsi="Arial"/>
                <w:sz w:val="22"/>
                <w:szCs w:val="22"/>
                <w:color w:val="auto"/>
              </w:rPr>
              <w:t>Adresse mail</w:t>
            </w:r>
          </w:p>
        </w:tc>
        <w:tc>
          <w:tcPr>
            <w:tcW w:w="6400" w:type="dxa"/>
            <w:vAlign w:val="bottom"/>
            <w:tcBorders>
              <w:bottom w:val="single" w:sz="8" w:color="auto"/>
            </w:tcBorders>
          </w:tcPr>
          <w:p>
            <w:pPr>
              <w:spacing w:after="0"/>
              <w:rPr>
                <w:sz w:val="20"/>
                <w:szCs w:val="20"/>
                <w:color w:val="auto"/>
              </w:rPr>
            </w:pPr>
          </w:p>
        </w:tc>
      </w:tr>
      <w:tr>
        <w:trPr>
          <w:trHeight w:val="243"/>
        </w:trPr>
        <w:tc>
          <w:tcPr>
            <w:tcW w:w="338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Téléphone fixe</w:t>
            </w:r>
          </w:p>
        </w:tc>
        <w:tc>
          <w:tcPr>
            <w:tcW w:w="6400" w:type="dxa"/>
            <w:vAlign w:val="bottom"/>
            <w:tcBorders>
              <w:bottom w:val="single" w:sz="8" w:color="auto"/>
            </w:tcBorders>
          </w:tcPr>
          <w:p>
            <w:pPr>
              <w:ind w:left="100"/>
              <w:spacing w:after="0" w:line="243" w:lineRule="exact"/>
              <w:rPr>
                <w:sz w:val="20"/>
                <w:szCs w:val="20"/>
                <w:color w:val="auto"/>
              </w:rPr>
            </w:pPr>
            <w:r>
              <w:rPr>
                <w:rFonts w:ascii="Arial" w:cs="Arial" w:eastAsia="Arial" w:hAnsi="Arial"/>
                <w:sz w:val="22"/>
                <w:szCs w:val="22"/>
                <w:i w:val="1"/>
                <w:iCs w:val="1"/>
                <w:color w:val="auto"/>
              </w:rPr>
              <w:t>[avec code pays]</w:t>
            </w:r>
          </w:p>
        </w:tc>
      </w:tr>
      <w:tr>
        <w:trPr>
          <w:trHeight w:val="243"/>
        </w:trPr>
        <w:tc>
          <w:tcPr>
            <w:tcW w:w="338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Téléphone portable</w:t>
            </w:r>
          </w:p>
        </w:tc>
        <w:tc>
          <w:tcPr>
            <w:tcW w:w="6400" w:type="dxa"/>
            <w:vAlign w:val="bottom"/>
            <w:tcBorders>
              <w:bottom w:val="single" w:sz="8" w:color="auto"/>
            </w:tcBorders>
          </w:tcPr>
          <w:p>
            <w:pPr>
              <w:ind w:left="100"/>
              <w:spacing w:after="0" w:line="243" w:lineRule="exact"/>
              <w:rPr>
                <w:sz w:val="20"/>
                <w:szCs w:val="20"/>
                <w:color w:val="auto"/>
              </w:rPr>
            </w:pPr>
            <w:r>
              <w:rPr>
                <w:rFonts w:ascii="Arial" w:cs="Arial" w:eastAsia="Arial" w:hAnsi="Arial"/>
                <w:sz w:val="22"/>
                <w:szCs w:val="22"/>
                <w:i w:val="1"/>
                <w:iCs w:val="1"/>
                <w:color w:val="auto"/>
              </w:rPr>
              <w:t>[avec code pays]</w:t>
            </w:r>
          </w:p>
        </w:tc>
      </w:tr>
      <w:tr>
        <w:trPr>
          <w:trHeight w:val="243"/>
        </w:trPr>
        <w:tc>
          <w:tcPr>
            <w:tcW w:w="338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Adresse postale</w:t>
            </w:r>
          </w:p>
        </w:tc>
        <w:tc>
          <w:tcPr>
            <w:tcW w:w="6400" w:type="dxa"/>
            <w:vAlign w:val="bottom"/>
            <w:tcBorders>
              <w:bottom w:val="single" w:sz="8" w:color="auto"/>
            </w:tcBorders>
          </w:tcPr>
          <w:p>
            <w:pPr>
              <w:spacing w:after="0"/>
              <w:rPr>
                <w:sz w:val="21"/>
                <w:szCs w:val="21"/>
                <w:color w:val="auto"/>
              </w:rPr>
            </w:pPr>
          </w:p>
        </w:tc>
      </w:tr>
      <w:tr>
        <w:trPr>
          <w:trHeight w:val="243"/>
        </w:trPr>
        <w:tc>
          <w:tcPr>
            <w:tcW w:w="3380" w:type="dxa"/>
            <w:vAlign w:val="bottom"/>
            <w:tcBorders>
              <w:bottom w:val="single" w:sz="8" w:color="auto"/>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Pays et région du candidat</w:t>
            </w:r>
          </w:p>
        </w:tc>
        <w:tc>
          <w:tcPr>
            <w:tcW w:w="6400" w:type="dxa"/>
            <w:vAlign w:val="bottom"/>
            <w:tcBorders>
              <w:bottom w:val="single" w:sz="8" w:color="auto"/>
            </w:tcBorders>
          </w:tcPr>
          <w:p>
            <w:pPr>
              <w:spacing w:after="0"/>
              <w:rPr>
                <w:sz w:val="21"/>
                <w:szCs w:val="21"/>
                <w:color w:val="auto"/>
              </w:rPr>
            </w:pPr>
          </w:p>
        </w:tc>
      </w:tr>
      <w:tr>
        <w:trPr>
          <w:trHeight w:val="243"/>
        </w:trPr>
        <w:tc>
          <w:tcPr>
            <w:tcW w:w="3380" w:type="dxa"/>
            <w:vAlign w:val="bottom"/>
            <w:tcBorders>
              <w:right w:val="single" w:sz="8" w:color="auto"/>
            </w:tcBorders>
          </w:tcPr>
          <w:p>
            <w:pPr>
              <w:ind w:left="100"/>
              <w:spacing w:after="0" w:line="243" w:lineRule="exact"/>
              <w:rPr>
                <w:sz w:val="20"/>
                <w:szCs w:val="20"/>
                <w:color w:val="auto"/>
              </w:rPr>
            </w:pPr>
            <w:r>
              <w:rPr>
                <w:rFonts w:ascii="Arial" w:cs="Arial" w:eastAsia="Arial" w:hAnsi="Arial"/>
                <w:sz w:val="22"/>
                <w:szCs w:val="22"/>
                <w:color w:val="auto"/>
              </w:rPr>
              <w:t>Description du candidat</w:t>
            </w:r>
          </w:p>
        </w:tc>
        <w:tc>
          <w:tcPr>
            <w:tcW w:w="6400" w:type="dxa"/>
            <w:vAlign w:val="bottom"/>
          </w:tcPr>
          <w:p>
            <w:pPr>
              <w:ind w:left="100"/>
              <w:spacing w:after="0" w:line="243" w:lineRule="exact"/>
              <w:rPr>
                <w:sz w:val="20"/>
                <w:szCs w:val="20"/>
                <w:color w:val="auto"/>
              </w:rPr>
            </w:pPr>
            <w:r>
              <w:rPr>
                <w:rFonts w:ascii="Arial" w:cs="Arial" w:eastAsia="Arial" w:hAnsi="Arial"/>
                <w:sz w:val="22"/>
                <w:szCs w:val="22"/>
                <w:i w:val="1"/>
                <w:iCs w:val="1"/>
                <w:color w:val="auto"/>
              </w:rPr>
              <w:t>[Inclure un descriptif sommaire en 700 caractères au</w:t>
            </w:r>
          </w:p>
        </w:tc>
      </w:tr>
      <w:tr>
        <w:trPr>
          <w:trHeight w:val="250"/>
        </w:trPr>
        <w:tc>
          <w:tcPr>
            <w:tcW w:w="3380" w:type="dxa"/>
            <w:vAlign w:val="bottom"/>
            <w:tcBorders>
              <w:right w:val="single" w:sz="8" w:color="auto"/>
            </w:tcBorders>
          </w:tcPr>
          <w:p>
            <w:pPr>
              <w:spacing w:after="0"/>
              <w:rPr>
                <w:sz w:val="21"/>
                <w:szCs w:val="21"/>
                <w:color w:val="auto"/>
              </w:rPr>
            </w:pPr>
          </w:p>
        </w:tc>
        <w:tc>
          <w:tcPr>
            <w:tcW w:w="6400" w:type="dxa"/>
            <w:vAlign w:val="bottom"/>
          </w:tcPr>
          <w:p>
            <w:pPr>
              <w:ind w:left="100"/>
              <w:spacing w:after="0" w:line="250" w:lineRule="exact"/>
              <w:rPr>
                <w:sz w:val="20"/>
                <w:szCs w:val="20"/>
                <w:color w:val="auto"/>
              </w:rPr>
            </w:pPr>
            <w:r>
              <w:rPr>
                <w:rFonts w:ascii="Arial" w:cs="Arial" w:eastAsia="Arial" w:hAnsi="Arial"/>
                <w:sz w:val="22"/>
                <w:szCs w:val="22"/>
                <w:i w:val="1"/>
                <w:iCs w:val="1"/>
                <w:color w:val="auto"/>
              </w:rPr>
              <w:t>maximum.]</w:t>
            </w:r>
          </w:p>
        </w:tc>
      </w:tr>
      <w:tr>
        <w:trPr>
          <w:trHeight w:val="258"/>
        </w:trPr>
        <w:tc>
          <w:tcPr>
            <w:tcW w:w="3380" w:type="dxa"/>
            <w:vAlign w:val="bottom"/>
            <w:tcBorders>
              <w:bottom w:val="single" w:sz="8" w:color="auto"/>
              <w:right w:val="single" w:sz="8" w:color="auto"/>
            </w:tcBorders>
          </w:tcPr>
          <w:p>
            <w:pPr>
              <w:spacing w:after="0"/>
              <w:rPr>
                <w:sz w:val="22"/>
                <w:szCs w:val="22"/>
                <w:color w:val="auto"/>
              </w:rPr>
            </w:pPr>
          </w:p>
        </w:tc>
        <w:tc>
          <w:tcPr>
            <w:tcW w:w="6400" w:type="dxa"/>
            <w:vAlign w:val="bottom"/>
            <w:tcBorders>
              <w:bottom w:val="single" w:sz="8" w:color="auto"/>
            </w:tcBorders>
          </w:tcPr>
          <w:p>
            <w:pPr>
              <w:spacing w:after="0"/>
              <w:rPr>
                <w:sz w:val="22"/>
                <w:szCs w:val="22"/>
                <w:color w:val="auto"/>
              </w:rPr>
            </w:pPr>
          </w:p>
        </w:tc>
      </w:tr>
      <w:tr>
        <w:trPr>
          <w:trHeight w:val="242"/>
        </w:trPr>
        <w:tc>
          <w:tcPr>
            <w:tcW w:w="3380" w:type="dxa"/>
            <w:vAlign w:val="bottom"/>
            <w:tcBorders>
              <w:bottom w:val="single" w:sz="8" w:color="auto"/>
              <w:right w:val="single" w:sz="8" w:color="auto"/>
            </w:tcBorders>
          </w:tcPr>
          <w:p>
            <w:pPr>
              <w:ind w:left="100"/>
              <w:spacing w:after="0" w:line="242" w:lineRule="exact"/>
              <w:rPr>
                <w:sz w:val="20"/>
                <w:szCs w:val="20"/>
                <w:color w:val="auto"/>
              </w:rPr>
            </w:pPr>
            <w:r>
              <w:rPr>
                <w:rFonts w:ascii="Arial" w:cs="Arial" w:eastAsia="Arial" w:hAnsi="Arial"/>
                <w:sz w:val="22"/>
                <w:szCs w:val="22"/>
                <w:color w:val="auto"/>
              </w:rPr>
              <w:t>Site Internet</w:t>
            </w:r>
          </w:p>
        </w:tc>
        <w:tc>
          <w:tcPr>
            <w:tcW w:w="6400" w:type="dxa"/>
            <w:vAlign w:val="bottom"/>
            <w:tcBorders>
              <w:bottom w:val="single" w:sz="8" w:color="auto"/>
            </w:tcBorders>
          </w:tcPr>
          <w:p>
            <w:pPr>
              <w:spacing w:after="0"/>
              <w:rPr>
                <w:sz w:val="21"/>
                <w:szCs w:val="21"/>
                <w:color w:val="auto"/>
              </w:rPr>
            </w:pPr>
          </w:p>
        </w:tc>
      </w:tr>
    </w:tbl>
    <w:p>
      <w:pPr>
        <w:sectPr>
          <w:pgSz w:w="11900" w:h="16838" w:orient="portrait"/>
          <w:cols w:equalWidth="0" w:num="1">
            <w:col w:w="9780"/>
          </w:cols>
          <w:pgMar w:left="1140" w:top="621" w:right="986" w:bottom="979" w:gutter="0" w:footer="0" w:header="0"/>
        </w:sectPr>
      </w:pPr>
    </w:p>
    <w:p>
      <w:pPr>
        <w:spacing w:after="0"/>
        <w:rPr>
          <w:sz w:val="20"/>
          <w:szCs w:val="20"/>
          <w:color w:val="auto"/>
        </w:rPr>
      </w:pPr>
      <w:r>
        <w:rPr>
          <w:rFonts w:ascii="Arial" w:cs="Arial" w:eastAsia="Arial" w:hAnsi="Arial"/>
          <w:sz w:val="22"/>
          <w:szCs w:val="22"/>
          <w:color w:val="auto"/>
        </w:rPr>
        <w:t>CL/4185</w:t>
      </w:r>
    </w:p>
    <w:p>
      <w:pPr>
        <w:spacing w:after="0"/>
        <w:rPr>
          <w:sz w:val="20"/>
          <w:szCs w:val="20"/>
          <w:color w:val="auto"/>
        </w:rPr>
      </w:pPr>
      <w:r>
        <w:rPr>
          <w:rFonts w:ascii="Arial" w:cs="Arial" w:eastAsia="Arial" w:hAnsi="Arial"/>
          <w:sz w:val="22"/>
          <w:szCs w:val="22"/>
          <w:color w:val="auto"/>
        </w:rPr>
        <w:t>Annexe I – page 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-3810</wp:posOffset>
            </wp:positionH>
            <wp:positionV relativeFrom="paragraph">
              <wp:posOffset>154305</wp:posOffset>
            </wp:positionV>
            <wp:extent cx="6214745" cy="916178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extLst>
                    </a:blip>
                    <a:srcRect/>
                    <a:stretch>
                      <a:fillRect/>
                    </a:stretch>
                  </pic:blipFill>
                  <pic:spPr bwMode="auto">
                    <a:xfrm>
                      <a:off x="0" y="0"/>
                      <a:ext cx="6214745" cy="9161780"/>
                    </a:xfrm>
                    <a:prstGeom prst="rect">
                      <a:avLst/>
                    </a:prstGeom>
                    <a:noFill/>
                  </pic:spPr>
                </pic:pic>
              </a:graphicData>
            </a:graphic>
          </wp:anchor>
        </w:drawing>
      </w:r>
    </w:p>
    <w:p>
      <w:pPr>
        <w:spacing w:after="0" w:line="228"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3. PROJET</w:t>
      </w:r>
    </w:p>
    <w:p>
      <w:pPr>
        <w:spacing w:after="0" w:line="11"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a. Intitulé du projet/programme</w:t>
      </w:r>
    </w:p>
    <w:p>
      <w:pPr>
        <w:spacing w:after="0" w:line="273"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b. Site internet du projet</w:t>
      </w:r>
    </w:p>
    <w:p>
      <w:pPr>
        <w:spacing w:after="0" w:line="273"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c. Résumé</w:t>
      </w:r>
    </w:p>
    <w:p>
      <w:pPr>
        <w:spacing w:after="0" w:line="19" w:lineRule="exact"/>
        <w:rPr>
          <w:sz w:val="20"/>
          <w:szCs w:val="20"/>
          <w:color w:val="auto"/>
        </w:rPr>
      </w:pPr>
    </w:p>
    <w:p>
      <w:pPr>
        <w:ind w:left="100"/>
        <w:spacing w:after="0" w:line="235" w:lineRule="auto"/>
        <w:rPr>
          <w:sz w:val="20"/>
          <w:szCs w:val="20"/>
          <w:color w:val="auto"/>
        </w:rPr>
      </w:pPr>
      <w:r>
        <w:rPr>
          <w:rFonts w:ascii="Arial" w:cs="Arial" w:eastAsia="Arial" w:hAnsi="Arial"/>
          <w:sz w:val="22"/>
          <w:szCs w:val="22"/>
          <w:i w:val="1"/>
          <w:iCs w:val="1"/>
          <w:color w:val="auto"/>
        </w:rPr>
        <w:t>[Expliquez l'objectif du projet et sa méthodologie en 900 caractères au maximum. Veuillez inclure toutes les informations importantes de façon structurée.]</w:t>
      </w:r>
    </w:p>
    <w:p>
      <w:pPr>
        <w:spacing w:after="0" w:line="200" w:lineRule="exact"/>
        <w:rPr>
          <w:sz w:val="20"/>
          <w:szCs w:val="20"/>
          <w:color w:val="auto"/>
        </w:rPr>
      </w:pPr>
    </w:p>
    <w:p>
      <w:pPr>
        <w:spacing w:after="0" w:line="316"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d. Contribution au Programme d’action global d’EDD</w:t>
      </w:r>
    </w:p>
    <w:p>
      <w:pPr>
        <w:spacing w:after="0" w:line="13" w:lineRule="exact"/>
        <w:rPr>
          <w:sz w:val="20"/>
          <w:szCs w:val="20"/>
          <w:color w:val="auto"/>
        </w:rPr>
      </w:pPr>
    </w:p>
    <w:p>
      <w:pPr>
        <w:ind w:left="100"/>
        <w:spacing w:after="0"/>
        <w:rPr>
          <w:sz w:val="20"/>
          <w:szCs w:val="20"/>
          <w:color w:val="auto"/>
        </w:rPr>
      </w:pPr>
      <w:r>
        <w:rPr>
          <w:rFonts w:ascii="Arial" w:cs="Arial" w:eastAsia="Arial" w:hAnsi="Arial"/>
          <w:sz w:val="22"/>
          <w:szCs w:val="22"/>
          <w:color w:val="auto"/>
        </w:rPr>
        <w:t xml:space="preserve">Cocher la priorité du Programme d’action global à laquelle le projet contribue </w:t>
      </w:r>
      <w:r>
        <w:rPr>
          <w:rFonts w:ascii="Arial" w:cs="Arial" w:eastAsia="Arial" w:hAnsi="Arial"/>
          <w:sz w:val="22"/>
          <w:szCs w:val="22"/>
          <w:u w:val="single" w:color="auto"/>
          <w:color w:val="auto"/>
        </w:rPr>
        <w:t>principalement</w:t>
      </w:r>
      <w:r>
        <w:rPr>
          <w:rFonts w:ascii="Arial" w:cs="Arial" w:eastAsia="Arial" w:hAnsi="Arial"/>
          <w:sz w:val="22"/>
          <w:szCs w:val="22"/>
          <w:color w:val="auto"/>
        </w:rPr>
        <w:t xml:space="preserve"> </w:t>
      </w:r>
      <w:r>
        <w:rPr>
          <w:rFonts w:ascii="Arial" w:cs="Arial" w:eastAsia="Arial" w:hAnsi="Arial"/>
          <w:sz w:val="19"/>
          <w:szCs w:val="19"/>
          <w:color w:val="auto"/>
        </w:rPr>
        <w:t>:</w:t>
      </w:r>
    </w:p>
    <w:p>
      <w:pPr>
        <w:ind w:left="680"/>
        <w:spacing w:after="0"/>
        <w:rPr>
          <w:sz w:val="20"/>
          <w:szCs w:val="20"/>
          <w:color w:val="auto"/>
        </w:rPr>
      </w:pPr>
      <w:r>
        <w:rPr>
          <w:rFonts w:ascii="Arial" w:cs="Arial" w:eastAsia="Arial" w:hAnsi="Arial"/>
          <w:sz w:val="22"/>
          <w:szCs w:val="22"/>
          <w:color w:val="auto"/>
        </w:rPr>
        <w:t>Renforcer les politiques</w:t>
      </w:r>
    </w:p>
    <w:p>
      <w:pPr>
        <w:ind w:left="680"/>
        <w:spacing w:after="0"/>
        <w:rPr>
          <w:sz w:val="20"/>
          <w:szCs w:val="20"/>
          <w:color w:val="auto"/>
        </w:rPr>
      </w:pPr>
      <w:r>
        <w:rPr>
          <w:rFonts w:ascii="Arial" w:cs="Arial" w:eastAsia="Arial" w:hAnsi="Arial"/>
          <w:sz w:val="22"/>
          <w:szCs w:val="22"/>
          <w:color w:val="auto"/>
        </w:rPr>
        <w:t>Transformer les environnements d’apprentissage et de formation</w:t>
      </w:r>
    </w:p>
    <w:p>
      <w:pPr>
        <w:ind w:left="680"/>
        <w:spacing w:after="0"/>
        <w:rPr>
          <w:sz w:val="20"/>
          <w:szCs w:val="20"/>
          <w:color w:val="auto"/>
        </w:rPr>
      </w:pPr>
      <w:r>
        <w:rPr>
          <w:rFonts w:ascii="Arial" w:cs="Arial" w:eastAsia="Arial" w:hAnsi="Arial"/>
          <w:sz w:val="22"/>
          <w:szCs w:val="22"/>
          <w:color w:val="auto"/>
        </w:rPr>
        <w:t>Renforcer les capacités des éducateurs et des formateurs</w:t>
      </w:r>
    </w:p>
    <w:p>
      <w:pPr>
        <w:ind w:left="680"/>
        <w:spacing w:after="0" w:line="238" w:lineRule="auto"/>
        <w:rPr>
          <w:sz w:val="20"/>
          <w:szCs w:val="20"/>
          <w:color w:val="auto"/>
        </w:rPr>
      </w:pPr>
      <w:r>
        <w:rPr>
          <w:rFonts w:ascii="Arial" w:cs="Arial" w:eastAsia="Arial" w:hAnsi="Arial"/>
          <w:sz w:val="22"/>
          <w:szCs w:val="22"/>
          <w:color w:val="auto"/>
        </w:rPr>
        <w:t>Mobiliser les jeunes et leur donner des moyens d’action</w:t>
      </w:r>
    </w:p>
    <w:p>
      <w:pPr>
        <w:spacing w:after="0" w:line="2" w:lineRule="exact"/>
        <w:rPr>
          <w:sz w:val="20"/>
          <w:szCs w:val="20"/>
          <w:color w:val="auto"/>
        </w:rPr>
      </w:pPr>
    </w:p>
    <w:p>
      <w:pPr>
        <w:ind w:left="680"/>
        <w:spacing w:after="0"/>
        <w:rPr>
          <w:sz w:val="20"/>
          <w:szCs w:val="20"/>
          <w:color w:val="auto"/>
        </w:rPr>
      </w:pPr>
      <w:r>
        <w:rPr>
          <w:rFonts w:ascii="Arial" w:cs="Arial" w:eastAsia="Arial" w:hAnsi="Arial"/>
          <w:sz w:val="22"/>
          <w:szCs w:val="22"/>
          <w:color w:val="auto"/>
        </w:rPr>
        <w:t>Accélérer l’adoption de solutions durables au niveau local</w:t>
      </w:r>
    </w:p>
    <w:p>
      <w:pPr>
        <w:spacing w:after="0" w:line="6"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e. Principaux groupes cibles</w:t>
      </w:r>
    </w:p>
    <w:p>
      <w:pPr>
        <w:spacing w:after="0" w:line="13" w:lineRule="exact"/>
        <w:rPr>
          <w:sz w:val="20"/>
          <w:szCs w:val="20"/>
          <w:color w:val="auto"/>
        </w:rPr>
      </w:pPr>
    </w:p>
    <w:p>
      <w:pPr>
        <w:ind w:left="680"/>
        <w:spacing w:after="0"/>
        <w:rPr>
          <w:sz w:val="20"/>
          <w:szCs w:val="20"/>
          <w:color w:val="auto"/>
        </w:rPr>
      </w:pPr>
      <w:r>
        <w:rPr>
          <w:rFonts w:ascii="Arial" w:cs="Arial" w:eastAsia="Arial" w:hAnsi="Arial"/>
          <w:sz w:val="22"/>
          <w:szCs w:val="22"/>
          <w:color w:val="auto"/>
        </w:rPr>
        <w:t>Autorités (nationales/régionales/locales)</w:t>
      </w:r>
    </w:p>
    <w:p>
      <w:pPr>
        <w:ind w:left="680"/>
        <w:spacing w:after="0"/>
        <w:rPr>
          <w:sz w:val="20"/>
          <w:szCs w:val="20"/>
          <w:color w:val="auto"/>
        </w:rPr>
      </w:pPr>
      <w:r>
        <w:rPr>
          <w:rFonts w:ascii="Arial" w:cs="Arial" w:eastAsia="Arial" w:hAnsi="Arial"/>
          <w:sz w:val="22"/>
          <w:szCs w:val="22"/>
          <w:color w:val="auto"/>
        </w:rPr>
        <w:t>Organisations intergouvernementales</w:t>
      </w:r>
    </w:p>
    <w:p>
      <w:pPr>
        <w:ind w:left="680"/>
        <w:spacing w:after="0"/>
        <w:rPr>
          <w:sz w:val="20"/>
          <w:szCs w:val="20"/>
          <w:color w:val="auto"/>
        </w:rPr>
      </w:pPr>
      <w:r>
        <w:rPr>
          <w:rFonts w:ascii="Arial" w:cs="Arial" w:eastAsia="Arial" w:hAnsi="Arial"/>
          <w:sz w:val="22"/>
          <w:szCs w:val="22"/>
          <w:color w:val="auto"/>
        </w:rPr>
        <w:t>Organisations de la société civile</w:t>
      </w:r>
    </w:p>
    <w:p>
      <w:pPr>
        <w:ind w:left="680"/>
        <w:spacing w:after="0"/>
        <w:rPr>
          <w:sz w:val="20"/>
          <w:szCs w:val="20"/>
          <w:color w:val="auto"/>
        </w:rPr>
      </w:pPr>
      <w:r>
        <w:rPr>
          <w:rFonts w:ascii="Arial" w:cs="Arial" w:eastAsia="Arial" w:hAnsi="Arial"/>
          <w:sz w:val="22"/>
          <w:szCs w:val="22"/>
          <w:color w:val="auto"/>
        </w:rPr>
        <w:t>Entreprises</w:t>
      </w:r>
    </w:p>
    <w:p>
      <w:pPr>
        <w:ind w:left="680"/>
        <w:spacing w:after="0"/>
        <w:rPr>
          <w:sz w:val="20"/>
          <w:szCs w:val="20"/>
          <w:color w:val="auto"/>
        </w:rPr>
      </w:pPr>
      <w:r>
        <w:rPr>
          <w:rFonts w:ascii="Arial" w:cs="Arial" w:eastAsia="Arial" w:hAnsi="Arial"/>
          <w:sz w:val="22"/>
          <w:szCs w:val="22"/>
          <w:color w:val="auto"/>
        </w:rPr>
        <w:t>Médias</w:t>
      </w:r>
    </w:p>
    <w:p>
      <w:pPr>
        <w:ind w:left="680"/>
        <w:spacing w:after="0"/>
        <w:rPr>
          <w:sz w:val="20"/>
          <w:szCs w:val="20"/>
          <w:color w:val="auto"/>
        </w:rPr>
      </w:pPr>
      <w:r>
        <w:rPr>
          <w:rFonts w:ascii="Arial" w:cs="Arial" w:eastAsia="Arial" w:hAnsi="Arial"/>
          <w:sz w:val="22"/>
          <w:szCs w:val="22"/>
          <w:color w:val="auto"/>
        </w:rPr>
        <w:t>Institutions d’enseignement supérieur ou de recherche</w:t>
      </w:r>
    </w:p>
    <w:p>
      <w:pPr>
        <w:ind w:left="680"/>
        <w:spacing w:after="0" w:line="238" w:lineRule="auto"/>
        <w:rPr>
          <w:sz w:val="20"/>
          <w:szCs w:val="20"/>
          <w:color w:val="auto"/>
        </w:rPr>
      </w:pPr>
      <w:r>
        <w:rPr>
          <w:rFonts w:ascii="Arial" w:cs="Arial" w:eastAsia="Arial" w:hAnsi="Arial"/>
          <w:sz w:val="22"/>
          <w:szCs w:val="22"/>
          <w:color w:val="auto"/>
        </w:rPr>
        <w:t>Institutions d’éducation</w:t>
      </w:r>
    </w:p>
    <w:p>
      <w:pPr>
        <w:spacing w:after="0" w:line="2" w:lineRule="exact"/>
        <w:rPr>
          <w:sz w:val="20"/>
          <w:szCs w:val="20"/>
          <w:color w:val="auto"/>
        </w:rPr>
      </w:pPr>
    </w:p>
    <w:p>
      <w:pPr>
        <w:ind w:left="680"/>
        <w:spacing w:after="0"/>
        <w:rPr>
          <w:sz w:val="20"/>
          <w:szCs w:val="20"/>
          <w:color w:val="auto"/>
        </w:rPr>
      </w:pPr>
      <w:r>
        <w:rPr>
          <w:rFonts w:ascii="Arial" w:cs="Arial" w:eastAsia="Arial" w:hAnsi="Arial"/>
          <w:sz w:val="22"/>
          <w:szCs w:val="22"/>
          <w:color w:val="auto"/>
        </w:rPr>
        <w:t>Éducateurs</w:t>
      </w:r>
    </w:p>
    <w:p>
      <w:pPr>
        <w:ind w:left="680"/>
        <w:spacing w:after="0"/>
        <w:rPr>
          <w:sz w:val="20"/>
          <w:szCs w:val="20"/>
          <w:color w:val="auto"/>
        </w:rPr>
      </w:pPr>
      <w:r>
        <w:rPr>
          <w:rFonts w:ascii="Arial" w:cs="Arial" w:eastAsia="Arial" w:hAnsi="Arial"/>
          <w:sz w:val="22"/>
          <w:szCs w:val="22"/>
          <w:color w:val="auto"/>
        </w:rPr>
        <w:t>Jeunes</w:t>
      </w:r>
    </w:p>
    <w:p>
      <w:pPr>
        <w:ind w:left="680"/>
        <w:spacing w:after="0"/>
        <w:rPr>
          <w:sz w:val="20"/>
          <w:szCs w:val="20"/>
          <w:color w:val="auto"/>
        </w:rPr>
      </w:pPr>
      <w:r>
        <w:rPr>
          <w:rFonts w:ascii="Arial" w:cs="Arial" w:eastAsia="Arial" w:hAnsi="Arial"/>
          <w:sz w:val="22"/>
          <w:szCs w:val="22"/>
          <w:color w:val="auto"/>
        </w:rPr>
        <w:t xml:space="preserve">Autres </w:t>
      </w:r>
      <w:r>
        <w:rPr>
          <w:rFonts w:ascii="Arial" w:cs="Arial" w:eastAsia="Arial" w:hAnsi="Arial"/>
          <w:sz w:val="22"/>
          <w:szCs w:val="22"/>
          <w:i w:val="1"/>
          <w:iCs w:val="1"/>
          <w:color w:val="auto"/>
        </w:rPr>
        <w:t>[préciser]</w:t>
      </w:r>
    </w:p>
    <w:p>
      <w:pPr>
        <w:spacing w:after="0" w:line="6"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f. Couverture géographique</w:t>
      </w:r>
    </w:p>
    <w:p>
      <w:pPr>
        <w:spacing w:after="0" w:line="13" w:lineRule="exact"/>
        <w:rPr>
          <w:sz w:val="20"/>
          <w:szCs w:val="20"/>
          <w:color w:val="auto"/>
        </w:rPr>
      </w:pPr>
    </w:p>
    <w:p>
      <w:pPr>
        <w:ind w:left="680"/>
        <w:spacing w:after="0"/>
        <w:rPr>
          <w:sz w:val="20"/>
          <w:szCs w:val="20"/>
          <w:color w:val="auto"/>
        </w:rPr>
      </w:pPr>
      <w:r>
        <w:rPr>
          <w:rFonts w:ascii="Arial" w:cs="Arial" w:eastAsia="Arial" w:hAnsi="Arial"/>
          <w:sz w:val="22"/>
          <w:szCs w:val="22"/>
          <w:color w:val="auto"/>
        </w:rPr>
        <w:t>Internationale</w:t>
      </w:r>
    </w:p>
    <w:p>
      <w:pPr>
        <w:ind w:left="680"/>
        <w:spacing w:after="0"/>
        <w:rPr>
          <w:sz w:val="20"/>
          <w:szCs w:val="20"/>
          <w:color w:val="auto"/>
        </w:rPr>
      </w:pPr>
      <w:r>
        <w:rPr>
          <w:rFonts w:ascii="Arial" w:cs="Arial" w:eastAsia="Arial" w:hAnsi="Arial"/>
          <w:sz w:val="22"/>
          <w:szCs w:val="22"/>
          <w:color w:val="auto"/>
        </w:rPr>
        <w:t>Régionale</w:t>
      </w:r>
    </w:p>
    <w:p>
      <w:pPr>
        <w:spacing w:after="0" w:line="1" w:lineRule="exact"/>
        <w:rPr>
          <w:sz w:val="20"/>
          <w:szCs w:val="20"/>
          <w:color w:val="auto"/>
        </w:rPr>
      </w:pPr>
    </w:p>
    <w:p>
      <w:pPr>
        <w:ind w:left="680"/>
        <w:spacing w:after="0"/>
        <w:rPr>
          <w:sz w:val="20"/>
          <w:szCs w:val="20"/>
          <w:color w:val="auto"/>
        </w:rPr>
      </w:pPr>
      <w:r>
        <w:rPr>
          <w:rFonts w:ascii="Arial" w:cs="Arial" w:eastAsia="Arial" w:hAnsi="Arial"/>
          <w:sz w:val="22"/>
          <w:szCs w:val="22"/>
          <w:color w:val="auto"/>
        </w:rPr>
        <w:t>Nationale</w:t>
      </w:r>
    </w:p>
    <w:p>
      <w:pPr>
        <w:ind w:left="680"/>
        <w:spacing w:after="0"/>
        <w:rPr>
          <w:sz w:val="20"/>
          <w:szCs w:val="20"/>
          <w:color w:val="auto"/>
        </w:rPr>
      </w:pPr>
      <w:r>
        <w:rPr>
          <w:rFonts w:ascii="Arial" w:cs="Arial" w:eastAsia="Arial" w:hAnsi="Arial"/>
          <w:sz w:val="22"/>
          <w:szCs w:val="22"/>
          <w:color w:val="auto"/>
        </w:rPr>
        <w:t>Locale</w:t>
      </w:r>
    </w:p>
    <w:p>
      <w:pPr>
        <w:ind w:left="100"/>
        <w:spacing w:after="0" w:line="238" w:lineRule="auto"/>
        <w:rPr>
          <w:sz w:val="20"/>
          <w:szCs w:val="20"/>
          <w:color w:val="auto"/>
        </w:rPr>
      </w:pPr>
      <w:r>
        <w:rPr>
          <w:rFonts w:ascii="Arial" w:cs="Arial" w:eastAsia="Arial" w:hAnsi="Arial"/>
          <w:sz w:val="22"/>
          <w:szCs w:val="22"/>
          <w:color w:val="auto"/>
        </w:rPr>
        <w:t>Pays couverts :</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g. Nombre de bénéficiaires à ce jour</w:t>
      </w:r>
    </w:p>
    <w:p>
      <w:pPr>
        <w:spacing w:after="0" w:line="11" w:lineRule="exact"/>
        <w:rPr>
          <w:sz w:val="20"/>
          <w:szCs w:val="20"/>
          <w:color w:val="auto"/>
        </w:rPr>
      </w:pPr>
    </w:p>
    <w:p>
      <w:pPr>
        <w:ind w:left="100"/>
        <w:spacing w:after="0"/>
        <w:rPr>
          <w:sz w:val="20"/>
          <w:szCs w:val="20"/>
          <w:color w:val="auto"/>
        </w:rPr>
      </w:pPr>
      <w:r>
        <w:rPr>
          <w:rFonts w:ascii="Arial" w:cs="Arial" w:eastAsia="Arial" w:hAnsi="Arial"/>
          <w:sz w:val="22"/>
          <w:szCs w:val="22"/>
          <w:i w:val="1"/>
          <w:iCs w:val="1"/>
          <w:color w:val="auto"/>
        </w:rPr>
        <w:t>[Indiquez le nombre de bénéficiaires actuels et passés]</w:t>
      </w:r>
    </w:p>
    <w:p>
      <w:pPr>
        <w:spacing w:after="0" w:line="263"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h. Durée du projet</w:t>
      </w:r>
    </w:p>
    <w:p>
      <w:pPr>
        <w:spacing w:after="0" w:line="19" w:lineRule="exact"/>
        <w:rPr>
          <w:sz w:val="20"/>
          <w:szCs w:val="20"/>
          <w:color w:val="auto"/>
        </w:rPr>
      </w:pPr>
    </w:p>
    <w:p>
      <w:pPr>
        <w:ind w:left="100" w:right="480"/>
        <w:spacing w:after="0" w:line="235" w:lineRule="auto"/>
        <w:rPr>
          <w:sz w:val="20"/>
          <w:szCs w:val="20"/>
          <w:color w:val="auto"/>
        </w:rPr>
      </w:pPr>
      <w:r>
        <w:rPr>
          <w:rFonts w:ascii="Arial" w:cs="Arial" w:eastAsia="Arial" w:hAnsi="Arial"/>
          <w:sz w:val="22"/>
          <w:szCs w:val="22"/>
          <w:i w:val="1"/>
          <w:iCs w:val="1"/>
          <w:color w:val="auto"/>
        </w:rPr>
        <w:t>[Indiquez la date de début et la date de fin prévue. Notez que seuls les projets opérationnels depuis au moins quatre ans seront pris en considération.]</w:t>
      </w:r>
    </w:p>
    <w:p>
      <w:pPr>
        <w:spacing w:after="0" w:line="264"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i. Financement</w:t>
      </w:r>
    </w:p>
    <w:p>
      <w:pPr>
        <w:spacing w:after="0" w:line="19" w:lineRule="exact"/>
        <w:rPr>
          <w:sz w:val="20"/>
          <w:szCs w:val="20"/>
          <w:color w:val="auto"/>
        </w:rPr>
      </w:pPr>
    </w:p>
    <w:p>
      <w:pPr>
        <w:ind w:left="100" w:right="1200"/>
        <w:spacing w:after="0" w:line="235" w:lineRule="auto"/>
        <w:rPr>
          <w:sz w:val="20"/>
          <w:szCs w:val="20"/>
          <w:color w:val="auto"/>
        </w:rPr>
      </w:pPr>
      <w:r>
        <w:rPr>
          <w:rFonts w:ascii="Arial" w:cs="Arial" w:eastAsia="Arial" w:hAnsi="Arial"/>
          <w:sz w:val="22"/>
          <w:szCs w:val="22"/>
          <w:i w:val="1"/>
          <w:iCs w:val="1"/>
          <w:color w:val="auto"/>
        </w:rPr>
        <w:t>[Expliquez la ou les sources de financement actuelle(s) et prévue(s) pour le projet en 250 caractères au maximum.]</w:t>
      </w:r>
    </w:p>
    <w:p>
      <w:pPr>
        <w:spacing w:after="0" w:line="200" w:lineRule="exact"/>
        <w:rPr>
          <w:sz w:val="20"/>
          <w:szCs w:val="20"/>
          <w:color w:val="auto"/>
        </w:rPr>
      </w:pPr>
    </w:p>
    <w:p>
      <w:pPr>
        <w:spacing w:after="0" w:line="317"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j. Coût annuel du projet</w:t>
      </w:r>
    </w:p>
    <w:p>
      <w:pPr>
        <w:spacing w:after="0" w:line="9" w:lineRule="exact"/>
        <w:rPr>
          <w:sz w:val="20"/>
          <w:szCs w:val="20"/>
          <w:color w:val="auto"/>
        </w:rPr>
      </w:pPr>
    </w:p>
    <w:p>
      <w:pPr>
        <w:ind w:left="100"/>
        <w:spacing w:after="0"/>
        <w:rPr>
          <w:sz w:val="20"/>
          <w:szCs w:val="20"/>
          <w:color w:val="auto"/>
        </w:rPr>
      </w:pPr>
      <w:r>
        <w:rPr>
          <w:rFonts w:ascii="Arial" w:cs="Arial" w:eastAsia="Arial" w:hAnsi="Arial"/>
          <w:sz w:val="22"/>
          <w:szCs w:val="22"/>
          <w:i w:val="1"/>
          <w:iCs w:val="1"/>
          <w:color w:val="auto"/>
        </w:rPr>
        <w:t>[Précisez le montant pour 2016 en dollars des États-Unis]</w:t>
      </w:r>
    </w:p>
    <w:p>
      <w:pPr>
        <w:spacing w:after="0" w:line="11"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k. Effectifs</w:t>
      </w:r>
    </w:p>
    <w:p>
      <w:pPr>
        <w:spacing w:after="0" w:line="11" w:lineRule="exact"/>
        <w:rPr>
          <w:sz w:val="20"/>
          <w:szCs w:val="20"/>
          <w:color w:val="auto"/>
        </w:rPr>
      </w:pPr>
    </w:p>
    <w:p>
      <w:pPr>
        <w:ind w:left="100"/>
        <w:spacing w:after="0"/>
        <w:rPr>
          <w:sz w:val="20"/>
          <w:szCs w:val="20"/>
          <w:color w:val="auto"/>
        </w:rPr>
      </w:pPr>
      <w:r>
        <w:rPr>
          <w:rFonts w:ascii="Arial" w:cs="Arial" w:eastAsia="Arial" w:hAnsi="Arial"/>
          <w:sz w:val="22"/>
          <w:szCs w:val="22"/>
          <w:i w:val="1"/>
          <w:iCs w:val="1"/>
          <w:color w:val="auto"/>
        </w:rPr>
        <w:t>[Précisez les effectifs du personnel participant au projet en 2016]</w:t>
      </w:r>
    </w:p>
    <w:p>
      <w:pPr>
        <w:spacing w:after="0" w:line="8" w:lineRule="exact"/>
        <w:rPr>
          <w:sz w:val="20"/>
          <w:szCs w:val="20"/>
          <w:color w:val="auto"/>
        </w:rPr>
      </w:pPr>
    </w:p>
    <w:p>
      <w:pPr>
        <w:ind w:left="100"/>
        <w:spacing w:after="0"/>
        <w:rPr>
          <w:sz w:val="20"/>
          <w:szCs w:val="20"/>
          <w:color w:val="auto"/>
        </w:rPr>
      </w:pPr>
      <w:r>
        <w:rPr>
          <w:rFonts w:ascii="Arial" w:cs="Arial" w:eastAsia="Arial" w:hAnsi="Arial"/>
          <w:sz w:val="22"/>
          <w:szCs w:val="22"/>
          <w:b w:val="1"/>
          <w:bCs w:val="1"/>
          <w:color w:val="auto"/>
        </w:rPr>
        <w:t>l. Stratégie future</w:t>
      </w:r>
    </w:p>
    <w:p>
      <w:pPr>
        <w:spacing w:after="0" w:line="22" w:lineRule="exact"/>
        <w:rPr>
          <w:sz w:val="20"/>
          <w:szCs w:val="20"/>
          <w:color w:val="auto"/>
        </w:rPr>
      </w:pPr>
    </w:p>
    <w:p>
      <w:pPr>
        <w:ind w:left="100" w:right="100"/>
        <w:spacing w:after="0" w:line="236" w:lineRule="auto"/>
        <w:rPr>
          <w:sz w:val="20"/>
          <w:szCs w:val="20"/>
          <w:color w:val="auto"/>
        </w:rPr>
      </w:pPr>
      <w:r>
        <w:rPr>
          <w:rFonts w:ascii="Arial" w:cs="Arial" w:eastAsia="Arial" w:hAnsi="Arial"/>
          <w:sz w:val="22"/>
          <w:szCs w:val="22"/>
          <w:i w:val="1"/>
          <w:iCs w:val="1"/>
          <w:color w:val="auto"/>
        </w:rPr>
        <w:t>[Décrivez clairement la stratégie future du projet en 700 caractères au maximum. Donnez des informations comme le plan de suivi, la stratégie de mise à l'échelle, les groupes cibles, la durée et le budget.]</w:t>
      </w:r>
    </w:p>
    <w:p>
      <w:pPr>
        <w:sectPr>
          <w:pgSz w:w="11900" w:h="16838" w:orient="portrait"/>
          <w:cols w:equalWidth="0" w:num="1">
            <w:col w:w="9560"/>
          </w:cols>
          <w:pgMar w:left="1140" w:top="621" w:right="1206" w:bottom="998" w:gutter="0" w:footer="0" w:header="0"/>
        </w:sectPr>
      </w:pPr>
    </w:p>
    <w:p>
      <w:pPr>
        <w:ind w:left="7560"/>
        <w:spacing w:after="0"/>
        <w:rPr>
          <w:sz w:val="20"/>
          <w:szCs w:val="20"/>
          <w:color w:val="auto"/>
        </w:rPr>
      </w:pPr>
      <w:r>
        <w:rPr>
          <w:rFonts w:ascii="Arial" w:cs="Arial" w:eastAsia="Arial" w:hAnsi="Arial"/>
          <w:sz w:val="22"/>
          <w:szCs w:val="22"/>
          <w:color w:val="auto"/>
        </w:rPr>
        <w:t>CL/4185</w:t>
      </w:r>
    </w:p>
    <w:p>
      <w:pPr>
        <w:ind w:left="7560"/>
        <w:spacing w:after="0"/>
        <w:rPr>
          <w:sz w:val="20"/>
          <w:szCs w:val="20"/>
          <w:color w:val="auto"/>
        </w:rPr>
      </w:pPr>
      <w:r>
        <w:rPr>
          <w:rFonts w:ascii="Arial" w:cs="Arial" w:eastAsia="Arial" w:hAnsi="Arial"/>
          <w:sz w:val="22"/>
          <w:szCs w:val="22"/>
          <w:color w:val="auto"/>
        </w:rPr>
        <w:t>Annexe I – page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-67310</wp:posOffset>
            </wp:positionH>
            <wp:positionV relativeFrom="paragraph">
              <wp:posOffset>154305</wp:posOffset>
            </wp:positionV>
            <wp:extent cx="6214745" cy="488950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a:extLst>
                        <a:ext uri="{28A0092B-C50C-407E-A947-70E740481C1C}"/>
                      </a:extLst>
                    </a:blip>
                    <a:srcRect/>
                    <a:stretch>
                      <a:fillRect/>
                    </a:stretch>
                  </pic:blipFill>
                  <pic:spPr bwMode="auto">
                    <a:xfrm>
                      <a:off x="0" y="0"/>
                      <a:ext cx="6214745" cy="4889500"/>
                    </a:xfrm>
                    <a:prstGeom prst="rect">
                      <a:avLst/>
                    </a:prstGeom>
                    <a:noFill/>
                  </pic:spPr>
                </pic:pic>
              </a:graphicData>
            </a:graphic>
          </wp:anchor>
        </w:drawing>
      </w:r>
    </w:p>
    <w:p>
      <w:pPr>
        <w:spacing w:after="0" w:line="22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m. Réalisations et impact</w:t>
      </w:r>
    </w:p>
    <w:p>
      <w:pPr>
        <w:spacing w:after="0" w:line="22" w:lineRule="exact"/>
        <w:rPr>
          <w:sz w:val="20"/>
          <w:szCs w:val="20"/>
          <w:color w:val="auto"/>
        </w:rPr>
      </w:pPr>
    </w:p>
    <w:p>
      <w:pPr>
        <w:ind w:right="140"/>
        <w:spacing w:after="0" w:line="237" w:lineRule="auto"/>
        <w:rPr>
          <w:sz w:val="20"/>
          <w:szCs w:val="20"/>
          <w:color w:val="auto"/>
        </w:rPr>
      </w:pPr>
      <w:r>
        <w:rPr>
          <w:rFonts w:ascii="Arial" w:cs="Arial" w:eastAsia="Arial" w:hAnsi="Arial"/>
          <w:sz w:val="22"/>
          <w:szCs w:val="22"/>
          <w:i w:val="1"/>
          <w:iCs w:val="1"/>
          <w:color w:val="auto"/>
        </w:rPr>
        <w:t>[Fournissez des preuves des réalisations et de l'impact du projet à ce jour, à partir d'informations concrètes telles que commentaires ou citations de participants, documents ou publications, nombre et type de personnes ou d'organisations formés, couverture dans la presse, prix déjà reçus, nombre de vues sur le site Internet du projet, en 900 caractères au maximum.]</w:t>
      </w:r>
    </w:p>
    <w:p>
      <w:pPr>
        <w:spacing w:after="0" w:line="265"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n. Contribution aux ODD</w:t>
      </w:r>
    </w:p>
    <w:p>
      <w:pPr>
        <w:spacing w:after="0" w:line="19" w:lineRule="exact"/>
        <w:rPr>
          <w:sz w:val="20"/>
          <w:szCs w:val="20"/>
          <w:color w:val="auto"/>
        </w:rPr>
      </w:pPr>
    </w:p>
    <w:p>
      <w:pPr>
        <w:ind w:right="160"/>
        <w:spacing w:after="0" w:line="235" w:lineRule="auto"/>
        <w:rPr>
          <w:sz w:val="20"/>
          <w:szCs w:val="20"/>
          <w:color w:val="auto"/>
        </w:rPr>
      </w:pPr>
      <w:r>
        <w:rPr>
          <w:rFonts w:ascii="Arial" w:cs="Arial" w:eastAsia="Arial" w:hAnsi="Arial"/>
          <w:sz w:val="22"/>
          <w:szCs w:val="22"/>
          <w:i w:val="1"/>
          <w:iCs w:val="1"/>
          <w:color w:val="auto"/>
        </w:rPr>
        <w:t>[Décrivez, en 700 caractères au maximum, comment le projet contribue à la mise en œuvre d’un ou de plusieurs des Objectifs de développement durable (ODD).]</w:t>
      </w:r>
    </w:p>
    <w:p>
      <w:pPr>
        <w:spacing w:after="0" w:line="264"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o. Transformation</w:t>
      </w:r>
    </w:p>
    <w:p>
      <w:pPr>
        <w:spacing w:after="0" w:line="19" w:lineRule="exact"/>
        <w:rPr>
          <w:sz w:val="20"/>
          <w:szCs w:val="20"/>
          <w:color w:val="auto"/>
        </w:rPr>
      </w:pPr>
    </w:p>
    <w:p>
      <w:pPr>
        <w:ind w:right="220"/>
        <w:spacing w:after="0" w:line="235" w:lineRule="auto"/>
        <w:rPr>
          <w:sz w:val="20"/>
          <w:szCs w:val="20"/>
          <w:color w:val="auto"/>
        </w:rPr>
      </w:pPr>
      <w:r>
        <w:rPr>
          <w:rFonts w:ascii="Arial" w:cs="Arial" w:eastAsia="Arial" w:hAnsi="Arial"/>
          <w:sz w:val="22"/>
          <w:szCs w:val="22"/>
          <w:i w:val="1"/>
          <w:iCs w:val="1"/>
          <w:color w:val="auto"/>
        </w:rPr>
        <w:t>[Décrivez comment le projet met en œuvre l'EDD comme une activité transformatrice au service du développement durable, entraînant des changements individuels et collectifs, en</w:t>
      </w:r>
    </w:p>
    <w:p>
      <w:pPr>
        <w:spacing w:after="0" w:line="11" w:lineRule="exact"/>
        <w:rPr>
          <w:sz w:val="20"/>
          <w:szCs w:val="20"/>
          <w:color w:val="auto"/>
        </w:rPr>
      </w:pPr>
    </w:p>
    <w:p>
      <w:pPr>
        <w:ind w:right="80"/>
        <w:spacing w:after="0" w:line="238" w:lineRule="auto"/>
        <w:rPr>
          <w:sz w:val="20"/>
          <w:szCs w:val="20"/>
          <w:color w:val="auto"/>
        </w:rPr>
      </w:pPr>
      <w:r>
        <w:rPr>
          <w:rFonts w:ascii="Arial" w:cs="Arial" w:eastAsia="Arial" w:hAnsi="Arial"/>
          <w:sz w:val="22"/>
          <w:szCs w:val="22"/>
          <w:i w:val="1"/>
          <w:iCs w:val="1"/>
          <w:color w:val="auto"/>
        </w:rPr>
        <w:t>900 caractères au maximum. L’éducation transformatrice implique qu’elle permet aux apprenants de se transformer eux-mêmes ainsi que la société dans laquelle ils vivent. Cela peut signifier, par exemple, agir contre le changement climatique, changer ses habitudes de consommation, développer l’entrepreneuriat social et des modes de subsistance durables, ou appuyer ceux qui luttent contre la pauvreté.]</w:t>
      </w:r>
    </w:p>
    <w:p>
      <w:pPr>
        <w:spacing w:after="0" w:line="200" w:lineRule="exact"/>
        <w:rPr>
          <w:sz w:val="20"/>
          <w:szCs w:val="20"/>
          <w:color w:val="auto"/>
        </w:rPr>
      </w:pPr>
    </w:p>
    <w:p>
      <w:pPr>
        <w:spacing w:after="0" w:line="316"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p. Intégration</w:t>
      </w:r>
    </w:p>
    <w:p>
      <w:pPr>
        <w:spacing w:after="0" w:line="22" w:lineRule="exact"/>
        <w:rPr>
          <w:sz w:val="20"/>
          <w:szCs w:val="20"/>
          <w:color w:val="auto"/>
        </w:rPr>
      </w:pPr>
    </w:p>
    <w:p>
      <w:pPr>
        <w:ind w:right="500"/>
        <w:spacing w:after="0" w:line="234" w:lineRule="auto"/>
        <w:rPr>
          <w:sz w:val="20"/>
          <w:szCs w:val="20"/>
          <w:color w:val="auto"/>
        </w:rPr>
      </w:pPr>
      <w:r>
        <w:rPr>
          <w:rFonts w:ascii="Arial" w:cs="Arial" w:eastAsia="Arial" w:hAnsi="Arial"/>
          <w:sz w:val="22"/>
          <w:szCs w:val="22"/>
          <w:i w:val="1"/>
          <w:iCs w:val="1"/>
          <w:color w:val="auto"/>
        </w:rPr>
        <w:t>[Décrivez comment le projet aborde les trois dimensions du développement durable (société, économie, environnement) de manière intégrée, en 900 caractères au maximum.]</w:t>
      </w:r>
    </w:p>
    <w:p>
      <w:pPr>
        <w:spacing w:after="0" w:line="200" w:lineRule="exact"/>
        <w:rPr>
          <w:sz w:val="20"/>
          <w:szCs w:val="20"/>
          <w:color w:val="auto"/>
        </w:rPr>
      </w:pPr>
    </w:p>
    <w:p>
      <w:pPr>
        <w:spacing w:after="0" w:line="318"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q. Innovation</w:t>
      </w:r>
    </w:p>
    <w:p>
      <w:pPr>
        <w:spacing w:after="0" w:line="19" w:lineRule="exact"/>
        <w:rPr>
          <w:sz w:val="20"/>
          <w:szCs w:val="20"/>
          <w:color w:val="auto"/>
        </w:rPr>
      </w:pPr>
    </w:p>
    <w:p>
      <w:pPr>
        <w:ind w:right="840"/>
        <w:spacing w:after="0" w:line="234" w:lineRule="auto"/>
        <w:rPr>
          <w:sz w:val="20"/>
          <w:szCs w:val="20"/>
          <w:color w:val="auto"/>
        </w:rPr>
      </w:pPr>
      <w:r>
        <w:rPr>
          <w:rFonts w:ascii="Arial" w:cs="Arial" w:eastAsia="Arial" w:hAnsi="Arial"/>
          <w:sz w:val="22"/>
          <w:szCs w:val="22"/>
          <w:i w:val="1"/>
          <w:iCs w:val="1"/>
          <w:color w:val="auto"/>
        </w:rPr>
        <w:t>[Précisez en quoi le projet traduit une approche novatrice de l’EDD, en 900 caractères au maximum.]</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-67310</wp:posOffset>
            </wp:positionH>
            <wp:positionV relativeFrom="paragraph">
              <wp:posOffset>516890</wp:posOffset>
            </wp:positionV>
            <wp:extent cx="6214745" cy="164465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a:extLst>
                        <a:ext uri="{28A0092B-C50C-407E-A947-70E740481C1C}"/>
                      </a:extLst>
                    </a:blip>
                    <a:srcRect/>
                    <a:stretch>
                      <a:fillRect/>
                    </a:stretch>
                  </pic:blipFill>
                  <pic:spPr bwMode="auto">
                    <a:xfrm>
                      <a:off x="0" y="0"/>
                      <a:ext cx="6214745" cy="16446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39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rPr>
        <w:t>4. Documents d'appui</w:t>
      </w:r>
    </w:p>
    <w:p>
      <w:pPr>
        <w:spacing w:after="0" w:line="11" w:lineRule="exact"/>
        <w:rPr>
          <w:sz w:val="20"/>
          <w:szCs w:val="20"/>
          <w:color w:val="auto"/>
        </w:rPr>
      </w:pPr>
    </w:p>
    <w:p>
      <w:pPr>
        <w:spacing w:after="0"/>
        <w:rPr>
          <w:sz w:val="20"/>
          <w:szCs w:val="20"/>
          <w:color w:val="auto"/>
        </w:rPr>
      </w:pPr>
      <w:r>
        <w:rPr>
          <w:rFonts w:ascii="Arial" w:cs="Arial" w:eastAsia="Arial" w:hAnsi="Arial"/>
          <w:sz w:val="22"/>
          <w:szCs w:val="22"/>
          <w:b w:val="1"/>
          <w:bCs w:val="1"/>
          <w:color w:val="auto"/>
          <w:highlight w:val="lightGray"/>
        </w:rPr>
        <w:t>a. Liens (sites Internet, publications, vidéos, galeries photos)</w:t>
      </w:r>
    </w:p>
    <w:p>
      <w:pPr>
        <w:spacing w:after="0" w:line="9"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[Donnez jusqu'à 10 liens pertinents, avec un bref descriptif.]</w:t>
      </w:r>
    </w:p>
    <w:p>
      <w:pPr>
        <w:spacing w:after="0" w:line="200" w:lineRule="exact"/>
        <w:rPr>
          <w:sz w:val="20"/>
          <w:szCs w:val="20"/>
          <w:color w:val="auto"/>
        </w:rPr>
      </w:pPr>
    </w:p>
    <w:p>
      <w:pPr>
        <w:spacing w:after="0" w:line="200" w:lineRule="exact"/>
        <w:rPr>
          <w:sz w:val="20"/>
          <w:szCs w:val="20"/>
          <w:color w:val="auto"/>
        </w:rPr>
      </w:pPr>
    </w:p>
    <w:p>
      <w:pPr>
        <w:spacing w:after="0" w:line="369" w:lineRule="exact"/>
        <w:rPr>
          <w:sz w:val="20"/>
          <w:szCs w:val="20"/>
          <w:color w:val="auto"/>
        </w:rPr>
      </w:pPr>
    </w:p>
    <w:p>
      <w:pPr>
        <w:spacing w:after="0"/>
        <w:rPr>
          <w:sz w:val="20"/>
          <w:szCs w:val="20"/>
          <w:color w:val="auto"/>
        </w:rPr>
      </w:pPr>
      <w:r>
        <w:rPr>
          <w:rFonts w:ascii="Arial" w:cs="Arial" w:eastAsia="Arial" w:hAnsi="Arial"/>
          <w:sz w:val="22"/>
          <w:szCs w:val="22"/>
          <w:b w:val="1"/>
          <w:bCs w:val="1"/>
          <w:color w:val="auto"/>
          <w:highlight w:val="lightGray"/>
        </w:rPr>
        <w:t>b. Autres documents pertinents</w:t>
      </w:r>
    </w:p>
    <w:p>
      <w:pPr>
        <w:spacing w:after="0" w:line="22" w:lineRule="exact"/>
        <w:rPr>
          <w:sz w:val="20"/>
          <w:szCs w:val="20"/>
          <w:color w:val="auto"/>
        </w:rPr>
      </w:pPr>
    </w:p>
    <w:p>
      <w:pPr>
        <w:spacing w:after="0" w:line="234" w:lineRule="auto"/>
        <w:rPr>
          <w:sz w:val="20"/>
          <w:szCs w:val="20"/>
          <w:color w:val="auto"/>
        </w:rPr>
      </w:pPr>
      <w:r>
        <w:rPr>
          <w:rFonts w:ascii="Arial" w:cs="Arial" w:eastAsia="Arial" w:hAnsi="Arial"/>
          <w:sz w:val="22"/>
          <w:szCs w:val="22"/>
          <w:i w:val="1"/>
          <w:iCs w:val="1"/>
          <w:color w:val="auto"/>
        </w:rPr>
        <w:t>[Pour télécharger des documents d'appui non disponibles en ligne, utilisez la fonction « Attacher » du coin supérieur gauche. Veuillez noter que la taille des pièces jointes est limitée à 350 Mo.]</w:t>
      </w:r>
    </w:p>
    <w:p>
      <w:pPr>
        <w:sectPr>
          <w:pgSz w:w="11900" w:h="16838" w:orient="portrait"/>
          <w:cols w:equalWidth="0" w:num="1">
            <w:col w:w="9540"/>
          </w:cols>
          <w:pgMar w:left="1240" w:top="621" w:right="1126" w:bottom="1440" w:gutter="0" w:footer="0" w:header="0"/>
        </w:sectPr>
      </w:pPr>
    </w:p>
    <w:p>
      <w:pPr>
        <w:ind w:left="8227"/>
        <w:spacing w:after="0"/>
        <w:rPr>
          <w:sz w:val="20"/>
          <w:szCs w:val="20"/>
          <w:color w:val="auto"/>
        </w:rPr>
      </w:pPr>
      <w:r>
        <w:rPr>
          <w:rFonts w:ascii="Arial" w:cs="Arial" w:eastAsia="Arial" w:hAnsi="Arial"/>
          <w:sz w:val="22"/>
          <w:szCs w:val="22"/>
          <w:color w:val="auto"/>
        </w:rPr>
        <w:t>CL/4185</w:t>
      </w:r>
    </w:p>
    <w:p>
      <w:pPr>
        <w:ind w:left="8227"/>
        <w:spacing w:after="0"/>
        <w:rPr>
          <w:sz w:val="20"/>
          <w:szCs w:val="20"/>
          <w:color w:val="auto"/>
        </w:rPr>
      </w:pPr>
      <w:r>
        <w:rPr>
          <w:rFonts w:ascii="Arial" w:cs="Arial" w:eastAsia="Arial" w:hAnsi="Arial"/>
          <w:sz w:val="22"/>
          <w:szCs w:val="22"/>
          <w:color w:val="auto"/>
        </w:rPr>
        <w:t>Annexe II</w:t>
      </w:r>
    </w:p>
    <w:p>
      <w:pPr>
        <w:spacing w:after="0" w:line="238" w:lineRule="exact"/>
        <w:rPr>
          <w:sz w:val="20"/>
          <w:szCs w:val="20"/>
          <w:color w:val="auto"/>
        </w:rPr>
      </w:pPr>
    </w:p>
    <w:p>
      <w:pPr>
        <w:jc w:val="center"/>
        <w:ind w:right="-6"/>
        <w:spacing w:after="0"/>
        <w:rPr>
          <w:sz w:val="20"/>
          <w:szCs w:val="20"/>
          <w:color w:val="auto"/>
        </w:rPr>
      </w:pPr>
      <w:r>
        <w:rPr>
          <w:rFonts w:ascii="Arial" w:cs="Arial" w:eastAsia="Arial" w:hAnsi="Arial"/>
          <w:sz w:val="22"/>
          <w:szCs w:val="22"/>
          <w:b w:val="1"/>
          <w:bCs w:val="1"/>
          <w:color w:val="auto"/>
        </w:rPr>
        <w:t>ANNEXE II</w:t>
      </w:r>
    </w:p>
    <w:p>
      <w:pPr>
        <w:spacing w:after="0" w:line="239" w:lineRule="exact"/>
        <w:rPr>
          <w:sz w:val="20"/>
          <w:szCs w:val="20"/>
          <w:color w:val="auto"/>
        </w:rPr>
      </w:pPr>
    </w:p>
    <w:p>
      <w:pPr>
        <w:jc w:val="center"/>
        <w:ind w:right="-6"/>
        <w:spacing w:after="0"/>
        <w:rPr>
          <w:sz w:val="20"/>
          <w:szCs w:val="20"/>
          <w:color w:val="auto"/>
        </w:rPr>
      </w:pPr>
      <w:r>
        <w:rPr>
          <w:rFonts w:ascii="Arial" w:cs="Arial" w:eastAsia="Arial" w:hAnsi="Arial"/>
          <w:sz w:val="22"/>
          <w:szCs w:val="22"/>
          <w:b w:val="1"/>
          <w:bCs w:val="1"/>
          <w:color w:val="auto"/>
        </w:rPr>
        <w:t>STATUTS DU PRIX UNESCO-JAPON</w:t>
      </w:r>
    </w:p>
    <w:p>
      <w:pPr>
        <w:spacing w:after="0" w:line="1" w:lineRule="exact"/>
        <w:rPr>
          <w:sz w:val="20"/>
          <w:szCs w:val="20"/>
          <w:color w:val="auto"/>
        </w:rPr>
      </w:pPr>
    </w:p>
    <w:p>
      <w:pPr>
        <w:jc w:val="center"/>
        <w:ind w:right="13"/>
        <w:spacing w:after="0"/>
        <w:rPr>
          <w:sz w:val="20"/>
          <w:szCs w:val="20"/>
          <w:color w:val="auto"/>
        </w:rPr>
      </w:pPr>
      <w:r>
        <w:rPr>
          <w:rFonts w:ascii="Arial" w:cs="Arial" w:eastAsia="Arial" w:hAnsi="Arial"/>
          <w:sz w:val="22"/>
          <w:szCs w:val="22"/>
          <w:b w:val="1"/>
          <w:bCs w:val="1"/>
          <w:color w:val="auto"/>
        </w:rPr>
        <w:t>D’ÉDUCATION EN VUE DU DÉVELOPPEMENT DURABLE</w:t>
      </w:r>
    </w:p>
    <w:p>
      <w:pPr>
        <w:spacing w:after="0" w:line="241" w:lineRule="exact"/>
        <w:rPr>
          <w:sz w:val="20"/>
          <w:szCs w:val="20"/>
          <w:color w:val="auto"/>
        </w:rPr>
      </w:pPr>
    </w:p>
    <w:p>
      <w:pPr>
        <w:jc w:val="center"/>
        <w:ind w:right="-6"/>
        <w:spacing w:after="0"/>
        <w:rPr>
          <w:sz w:val="20"/>
          <w:szCs w:val="20"/>
          <w:color w:val="auto"/>
        </w:rPr>
      </w:pPr>
      <w:r>
        <w:rPr>
          <w:rFonts w:ascii="Arial" w:cs="Arial" w:eastAsia="Arial" w:hAnsi="Arial"/>
          <w:sz w:val="22"/>
          <w:szCs w:val="22"/>
          <w:color w:val="auto"/>
        </w:rPr>
        <w:t>(Décision 195 EX/11 Partie II, octobre 2014)</w:t>
      </w:r>
    </w:p>
    <w:p>
      <w:pPr>
        <w:spacing w:after="0" w:line="237" w:lineRule="exact"/>
        <w:rPr>
          <w:sz w:val="20"/>
          <w:szCs w:val="20"/>
          <w:color w:val="auto"/>
        </w:rPr>
      </w:pPr>
    </w:p>
    <w:p>
      <w:pPr>
        <w:ind w:left="7"/>
        <w:spacing w:after="0"/>
        <w:rPr>
          <w:sz w:val="20"/>
          <w:szCs w:val="20"/>
          <w:color w:val="auto"/>
        </w:rPr>
      </w:pPr>
      <w:r>
        <w:rPr>
          <w:rFonts w:ascii="Arial" w:cs="Arial" w:eastAsia="Arial" w:hAnsi="Arial"/>
          <w:sz w:val="22"/>
          <w:szCs w:val="22"/>
          <w:i w:val="1"/>
          <w:iCs w:val="1"/>
          <w:color w:val="auto"/>
        </w:rPr>
        <w:t>Article premier – But</w:t>
      </w:r>
    </w:p>
    <w:p>
      <w:pPr>
        <w:spacing w:after="0" w:line="252" w:lineRule="exact"/>
        <w:rPr>
          <w:sz w:val="20"/>
          <w:szCs w:val="20"/>
          <w:color w:val="auto"/>
        </w:rPr>
      </w:pPr>
    </w:p>
    <w:p>
      <w:pPr>
        <w:jc w:val="both"/>
        <w:ind w:left="7"/>
        <w:spacing w:after="0" w:line="245" w:lineRule="auto"/>
        <w:rPr>
          <w:rFonts w:ascii="Arial" w:cs="Arial" w:eastAsia="Arial" w:hAnsi="Arial"/>
          <w:sz w:val="21"/>
          <w:szCs w:val="21"/>
          <w:color w:val="auto"/>
        </w:rPr>
      </w:pPr>
      <w:r>
        <w:rPr>
          <w:rFonts w:ascii="Arial" w:cs="Arial" w:eastAsia="Arial" w:hAnsi="Arial"/>
          <w:sz w:val="21"/>
          <w:szCs w:val="21"/>
          <w:color w:val="auto"/>
        </w:rPr>
        <w:t>Le Prix UNESCO-Japon d’éducation en vue du développement durable est destiné à récompenser les efforts exemplaires de personnes, institutions, organisations ou autres entités engagées dans des activités d’éducation en vue du développement durable (EDD), dans le cadre du Programme d'action global pour l'éducation en vue du développement durable qui a été approuvé par la Conférence générale à sa 37</w:t>
      </w:r>
      <w:r>
        <w:rPr>
          <w:rFonts w:ascii="Arial" w:cs="Arial" w:eastAsia="Arial" w:hAnsi="Arial"/>
          <w:sz w:val="26"/>
          <w:szCs w:val="26"/>
          <w:color w:val="auto"/>
          <w:vertAlign w:val="superscript"/>
        </w:rPr>
        <w:t>e</w:t>
      </w:r>
      <w:r>
        <w:rPr>
          <w:rFonts w:ascii="Arial" w:cs="Arial" w:eastAsia="Arial" w:hAnsi="Arial"/>
          <w:sz w:val="21"/>
          <w:szCs w:val="21"/>
          <w:color w:val="auto"/>
        </w:rPr>
        <w:t xml:space="preserve"> session (résolution 37 C/12) comme moyen d’assurer le suivi de la Décennie des Nations Unies pour l'éducation au service du développement durable. Le Prix récompense en particulier des activités novatrices ou produisant un fort impact. L’objectif du Prix est conforme aux politiques de l’UNESCO, à savoir l’objectif stratégique 2 de la Stratégie à moyen terme de l’UNESCO pour 2014-2021 </w:t>
      </w:r>
      <w:hyperlink r:id="rId23">
        <w:r>
          <w:rPr>
            <w:rFonts w:ascii="Arial" w:cs="Arial" w:eastAsia="Arial" w:hAnsi="Arial"/>
            <w:sz w:val="21"/>
            <w:szCs w:val="21"/>
            <w:color w:val="auto"/>
          </w:rPr>
          <w:t xml:space="preserve">(37 </w:t>
        </w:r>
      </w:hyperlink>
      <w:r>
        <w:rPr>
          <w:rFonts w:ascii="Arial" w:cs="Arial" w:eastAsia="Arial" w:hAnsi="Arial"/>
          <w:sz w:val="21"/>
          <w:szCs w:val="21"/>
          <w:color w:val="auto"/>
        </w:rPr>
        <w:t>C/4), « Donner aux apprenants les moyens d’être des citoyens du monde créatifs et responsables », et au programme de l’Organisation dans le domaine de l’EDD</w:t>
      </w:r>
      <w:r>
        <w:rPr>
          <w:rFonts w:ascii="Arial" w:cs="Arial" w:eastAsia="Arial" w:hAnsi="Arial"/>
          <w:sz w:val="21"/>
          <w:szCs w:val="21"/>
          <w:i w:val="1"/>
          <w:iCs w:val="1"/>
          <w:color w:val="auto"/>
        </w:rPr>
        <w:t>.</w:t>
      </w:r>
    </w:p>
    <w:p>
      <w:pPr>
        <w:spacing w:after="0" w:line="236" w:lineRule="exact"/>
        <w:rPr>
          <w:sz w:val="20"/>
          <w:szCs w:val="20"/>
          <w:color w:val="auto"/>
        </w:rPr>
      </w:pPr>
    </w:p>
    <w:p>
      <w:pPr>
        <w:ind w:left="7"/>
        <w:spacing w:after="0"/>
        <w:rPr>
          <w:sz w:val="20"/>
          <w:szCs w:val="20"/>
          <w:color w:val="auto"/>
        </w:rPr>
      </w:pPr>
      <w:r>
        <w:rPr>
          <w:rFonts w:ascii="Arial" w:cs="Arial" w:eastAsia="Arial" w:hAnsi="Arial"/>
          <w:sz w:val="22"/>
          <w:szCs w:val="22"/>
          <w:i w:val="1"/>
          <w:iCs w:val="1"/>
          <w:color w:val="auto"/>
        </w:rPr>
        <w:t>Article 2 – Dénomination, montant et périodicité du Prix</w:t>
      </w:r>
    </w:p>
    <w:p>
      <w:pPr>
        <w:spacing w:after="0" w:line="241" w:lineRule="exact"/>
        <w:rPr>
          <w:sz w:val="20"/>
          <w:szCs w:val="20"/>
          <w:color w:val="auto"/>
        </w:rPr>
      </w:pPr>
    </w:p>
    <w:p>
      <w:pPr>
        <w:ind w:left="7"/>
        <w:spacing w:after="0"/>
        <w:tabs>
          <w:tab w:leader="none" w:pos="547" w:val="left"/>
        </w:tabs>
        <w:rPr>
          <w:sz w:val="20"/>
          <w:szCs w:val="20"/>
          <w:color w:val="auto"/>
        </w:rPr>
      </w:pPr>
      <w:r>
        <w:rPr>
          <w:rFonts w:ascii="Arial" w:cs="Arial" w:eastAsia="Arial" w:hAnsi="Arial"/>
          <w:sz w:val="22"/>
          <w:szCs w:val="22"/>
          <w:color w:val="auto"/>
        </w:rPr>
        <w:t>2.1</w:t>
      </w:r>
      <w:r>
        <w:rPr>
          <w:sz w:val="20"/>
          <w:szCs w:val="20"/>
          <w:color w:val="auto"/>
        </w:rPr>
        <w:tab/>
      </w:r>
      <w:r>
        <w:rPr>
          <w:rFonts w:ascii="Arial" w:cs="Arial" w:eastAsia="Arial" w:hAnsi="Arial"/>
          <w:sz w:val="22"/>
          <w:szCs w:val="22"/>
          <w:color w:val="auto"/>
        </w:rPr>
        <w:t>Le Prix s’intitule « Prix UNESCO-Japon d’éducation en vue du développement durable »</w:t>
      </w:r>
      <w:r>
        <w:rPr>
          <w:rFonts w:ascii="Arial" w:cs="Arial" w:eastAsia="Arial" w:hAnsi="Arial"/>
          <w:sz w:val="22"/>
          <w:szCs w:val="22"/>
          <w:i w:val="1"/>
          <w:iCs w:val="1"/>
          <w:color w:val="auto"/>
        </w:rPr>
        <w:t>.</w:t>
      </w:r>
    </w:p>
    <w:p>
      <w:pPr>
        <w:spacing w:after="0" w:line="250" w:lineRule="exact"/>
        <w:rPr>
          <w:sz w:val="20"/>
          <w:szCs w:val="20"/>
          <w:color w:val="auto"/>
        </w:rPr>
      </w:pPr>
    </w:p>
    <w:p>
      <w:pPr>
        <w:jc w:val="both"/>
        <w:ind w:left="7"/>
        <w:spacing w:after="0" w:line="237" w:lineRule="auto"/>
        <w:rPr>
          <w:sz w:val="20"/>
          <w:szCs w:val="20"/>
          <w:color w:val="auto"/>
        </w:rPr>
      </w:pPr>
      <w:r>
        <w:rPr>
          <w:rFonts w:ascii="Arial" w:cs="Arial" w:eastAsia="Arial" w:hAnsi="Arial"/>
          <w:sz w:val="22"/>
          <w:szCs w:val="22"/>
          <w:color w:val="auto"/>
        </w:rPr>
        <w:t>2.2 Le Prix est financé par le Gouvernement japonais pour une période initiale de cinq ans (2015-2019) sous la forme d’un montant total de 2 millions de dollars des États-Unis, qui recouvre à la fois la valeur monétaire du Prix et le coût de son administration. Les intérêts éventuellement produits par cette somme s'ajouteront à la contribution générale.</w:t>
      </w:r>
    </w:p>
    <w:p>
      <w:pPr>
        <w:spacing w:after="0" w:line="251" w:lineRule="exact"/>
        <w:rPr>
          <w:sz w:val="20"/>
          <w:szCs w:val="20"/>
          <w:color w:val="auto"/>
        </w:rPr>
      </w:pPr>
    </w:p>
    <w:p>
      <w:pPr>
        <w:jc w:val="both"/>
        <w:ind w:left="7"/>
        <w:spacing w:after="0" w:line="236" w:lineRule="auto"/>
        <w:rPr>
          <w:sz w:val="20"/>
          <w:szCs w:val="20"/>
          <w:color w:val="auto"/>
        </w:rPr>
      </w:pPr>
      <w:r>
        <w:rPr>
          <w:rFonts w:ascii="Arial" w:cs="Arial" w:eastAsia="Arial" w:hAnsi="Arial"/>
          <w:sz w:val="22"/>
          <w:szCs w:val="22"/>
          <w:color w:val="auto"/>
        </w:rPr>
        <w:t>2.3 Tous les fonds reçus et les intérêts produits sont conservés sur un compte spécial produisant des intérêts ouvert pour le Prix.</w:t>
      </w:r>
    </w:p>
    <w:p>
      <w:pPr>
        <w:spacing w:after="0" w:line="249" w:lineRule="exact"/>
        <w:rPr>
          <w:sz w:val="20"/>
          <w:szCs w:val="20"/>
          <w:color w:val="auto"/>
        </w:rPr>
      </w:pPr>
    </w:p>
    <w:p>
      <w:pPr>
        <w:jc w:val="both"/>
        <w:ind w:left="7"/>
        <w:spacing w:after="0" w:line="238" w:lineRule="auto"/>
        <w:rPr>
          <w:sz w:val="20"/>
          <w:szCs w:val="20"/>
          <w:color w:val="auto"/>
        </w:rPr>
      </w:pPr>
      <w:r>
        <w:rPr>
          <w:rFonts w:ascii="Arial" w:cs="Arial" w:eastAsia="Arial" w:hAnsi="Arial"/>
          <w:sz w:val="22"/>
          <w:szCs w:val="22"/>
          <w:color w:val="auto"/>
        </w:rPr>
        <w:t>2.4 Toutes les dépenses de personnel et tous les frais de fonctionnement/gestion du Prix, y compris la totalité du coût de la cérémonie de remise du Prix et de l'information du public, d'un montant estimatif de 250 000 dollars des États-Unis par an, sont intégralement à la charge du Gouvernement japonais. À cette fin, le Directeur général prélève un montant obligatoire au titre des frais généraux sur le compte spécial qui doit être ouvert conformément au Règlement financier du Prix.</w:t>
      </w:r>
    </w:p>
    <w:p>
      <w:pPr>
        <w:spacing w:after="0" w:line="254" w:lineRule="exact"/>
        <w:rPr>
          <w:sz w:val="20"/>
          <w:szCs w:val="20"/>
          <w:color w:val="auto"/>
        </w:rPr>
      </w:pPr>
    </w:p>
    <w:p>
      <w:pPr>
        <w:jc w:val="both"/>
        <w:ind w:left="7"/>
        <w:spacing w:after="0" w:line="236" w:lineRule="auto"/>
        <w:rPr>
          <w:sz w:val="20"/>
          <w:szCs w:val="20"/>
          <w:color w:val="auto"/>
        </w:rPr>
      </w:pPr>
      <w:r>
        <w:rPr>
          <w:rFonts w:ascii="Arial" w:cs="Arial" w:eastAsia="Arial" w:hAnsi="Arial"/>
          <w:sz w:val="22"/>
          <w:szCs w:val="22"/>
          <w:color w:val="auto"/>
        </w:rPr>
        <w:t>2.5 Le Prix est décerné tous les ans, pendant une période initiale de cinq ans, à compter de son édition 2015. Le Prix consiste en une somme de 50 000 dollars des États-Unis remise à chacun des trois lauréats considérés comme méritant cette distinction.</w:t>
      </w:r>
    </w:p>
    <w:p>
      <w:pPr>
        <w:spacing w:after="0" w:line="242" w:lineRule="exact"/>
        <w:rPr>
          <w:sz w:val="20"/>
          <w:szCs w:val="20"/>
          <w:color w:val="auto"/>
        </w:rPr>
      </w:pPr>
    </w:p>
    <w:p>
      <w:pPr>
        <w:ind w:left="7"/>
        <w:spacing w:after="0"/>
        <w:rPr>
          <w:sz w:val="20"/>
          <w:szCs w:val="20"/>
          <w:color w:val="auto"/>
        </w:rPr>
      </w:pPr>
      <w:r>
        <w:rPr>
          <w:rFonts w:ascii="Arial" w:cs="Arial" w:eastAsia="Arial" w:hAnsi="Arial"/>
          <w:sz w:val="22"/>
          <w:szCs w:val="22"/>
          <w:i w:val="1"/>
          <w:iCs w:val="1"/>
          <w:color w:val="auto"/>
        </w:rPr>
        <w:t>Article 3 – Critères applicables aux candidats</w:t>
      </w:r>
    </w:p>
    <w:p>
      <w:pPr>
        <w:spacing w:after="0" w:line="249" w:lineRule="exact"/>
        <w:rPr>
          <w:sz w:val="20"/>
          <w:szCs w:val="20"/>
          <w:color w:val="auto"/>
        </w:rPr>
      </w:pPr>
    </w:p>
    <w:p>
      <w:pPr>
        <w:jc w:val="both"/>
        <w:ind w:left="7"/>
        <w:spacing w:after="0" w:line="238" w:lineRule="auto"/>
        <w:rPr>
          <w:sz w:val="20"/>
          <w:szCs w:val="20"/>
          <w:color w:val="auto"/>
        </w:rPr>
      </w:pPr>
      <w:r>
        <w:rPr>
          <w:rFonts w:ascii="Arial" w:cs="Arial" w:eastAsia="Arial" w:hAnsi="Arial"/>
          <w:sz w:val="22"/>
          <w:szCs w:val="22"/>
          <w:color w:val="auto"/>
        </w:rPr>
        <w:t>Les candidats doivent avoir apporté des contributions importantes à l’EDD, dans un ou plusieurs des cinq domaines d’action prioritaires du Programme d'action global pour l'éducation en vue du développement durable : (1) des politiques à l’appui de l’EDD, (2) des approches institutionnelles globales, (3) les éducateurs, (4) les jeunes et (5) les collectivités locales. Le Prix peut être décerné</w:t>
      </w:r>
    </w:p>
    <w:p>
      <w:pPr>
        <w:spacing w:after="0" w:line="10" w:lineRule="exact"/>
        <w:rPr>
          <w:sz w:val="20"/>
          <w:szCs w:val="20"/>
          <w:color w:val="auto"/>
        </w:rPr>
      </w:pPr>
    </w:p>
    <w:p>
      <w:pPr>
        <w:ind w:left="7" w:hanging="7"/>
        <w:spacing w:after="0" w:line="235" w:lineRule="auto"/>
        <w:tabs>
          <w:tab w:leader="none" w:pos="230" w:val="left"/>
        </w:tabs>
        <w:numPr>
          <w:ilvl w:val="0"/>
          <w:numId w:val="5"/>
        </w:numPr>
        <w:rPr>
          <w:rFonts w:ascii="Arial" w:cs="Arial" w:eastAsia="Arial" w:hAnsi="Arial"/>
          <w:sz w:val="22"/>
          <w:szCs w:val="22"/>
          <w:color w:val="auto"/>
        </w:rPr>
      </w:pPr>
      <w:r>
        <w:rPr>
          <w:rFonts w:ascii="Arial" w:cs="Arial" w:eastAsia="Arial" w:hAnsi="Arial"/>
          <w:sz w:val="22"/>
          <w:szCs w:val="22"/>
          <w:color w:val="auto"/>
        </w:rPr>
        <w:t>des personnes, des institutions, des organisations non gouvernementales ou d’autres entités œuvrant dans le domaine de l’EDD.</w:t>
      </w:r>
    </w:p>
    <w:p>
      <w:pPr>
        <w:spacing w:after="0" w:line="241" w:lineRule="exact"/>
        <w:rPr>
          <w:sz w:val="20"/>
          <w:szCs w:val="20"/>
          <w:color w:val="auto"/>
        </w:rPr>
      </w:pPr>
    </w:p>
    <w:p>
      <w:pPr>
        <w:ind w:left="7"/>
        <w:spacing w:after="0"/>
        <w:rPr>
          <w:sz w:val="20"/>
          <w:szCs w:val="20"/>
          <w:color w:val="auto"/>
        </w:rPr>
      </w:pPr>
      <w:r>
        <w:rPr>
          <w:rFonts w:ascii="Arial" w:cs="Arial" w:eastAsia="Arial" w:hAnsi="Arial"/>
          <w:sz w:val="22"/>
          <w:szCs w:val="22"/>
          <w:i w:val="1"/>
          <w:iCs w:val="1"/>
          <w:color w:val="auto"/>
        </w:rPr>
        <w:t>Article 4 – Désignation/choix des lauréats</w:t>
      </w:r>
    </w:p>
    <w:p>
      <w:pPr>
        <w:spacing w:after="0" w:line="249" w:lineRule="exact"/>
        <w:rPr>
          <w:sz w:val="20"/>
          <w:szCs w:val="20"/>
          <w:color w:val="auto"/>
        </w:rPr>
      </w:pPr>
    </w:p>
    <w:p>
      <w:pPr>
        <w:ind w:left="7"/>
        <w:spacing w:after="0" w:line="236" w:lineRule="auto"/>
        <w:rPr>
          <w:sz w:val="20"/>
          <w:szCs w:val="20"/>
          <w:color w:val="auto"/>
        </w:rPr>
      </w:pPr>
      <w:r>
        <w:rPr>
          <w:rFonts w:ascii="Arial" w:cs="Arial" w:eastAsia="Arial" w:hAnsi="Arial"/>
          <w:sz w:val="22"/>
          <w:szCs w:val="22"/>
          <w:color w:val="auto"/>
        </w:rPr>
        <w:t>Les trois lauréats sont choisis par le Directeur général de l'UNESCO à la lumière de l'évaluation des candidatures faites par un jury et sur sa recommandation</w:t>
      </w:r>
      <w:r>
        <w:rPr>
          <w:rFonts w:ascii="Arial" w:cs="Arial" w:eastAsia="Arial" w:hAnsi="Arial"/>
          <w:sz w:val="22"/>
          <w:szCs w:val="22"/>
          <w:i w:val="1"/>
          <w:iCs w:val="1"/>
          <w:color w:val="auto"/>
        </w:rPr>
        <w:t>.</w:t>
      </w:r>
    </w:p>
    <w:p>
      <w:pPr>
        <w:sectPr>
          <w:pgSz w:w="11900" w:h="16838" w:orient="portrait"/>
          <w:cols w:equalWidth="0" w:num="1">
            <w:col w:w="9647"/>
          </w:cols>
          <w:pgMar w:left="1133" w:top="621" w:right="1126" w:bottom="920" w:gutter="0" w:footer="0" w:header="0"/>
        </w:sectPr>
      </w:pPr>
    </w:p>
    <w:p>
      <w:pPr>
        <w:spacing w:after="0"/>
        <w:rPr>
          <w:sz w:val="20"/>
          <w:szCs w:val="20"/>
          <w:color w:val="auto"/>
        </w:rPr>
      </w:pPr>
      <w:r>
        <w:rPr>
          <w:rFonts w:ascii="Arial" w:cs="Arial" w:eastAsia="Arial" w:hAnsi="Arial"/>
          <w:sz w:val="22"/>
          <w:szCs w:val="22"/>
          <w:color w:val="auto"/>
        </w:rPr>
        <w:t>CL/4185</w:t>
      </w:r>
    </w:p>
    <w:p>
      <w:pPr>
        <w:spacing w:after="0"/>
        <w:rPr>
          <w:sz w:val="20"/>
          <w:szCs w:val="20"/>
          <w:color w:val="auto"/>
        </w:rPr>
      </w:pPr>
      <w:r>
        <w:rPr>
          <w:rFonts w:ascii="Arial" w:cs="Arial" w:eastAsia="Arial" w:hAnsi="Arial"/>
          <w:sz w:val="22"/>
          <w:szCs w:val="22"/>
          <w:color w:val="auto"/>
        </w:rPr>
        <w:t>Annexe II – page 2</w:t>
      </w:r>
    </w:p>
    <w:p>
      <w:pPr>
        <w:spacing w:after="0" w:line="238"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5 – Jury</w:t>
      </w:r>
    </w:p>
    <w:p>
      <w:pPr>
        <w:spacing w:after="0" w:line="250" w:lineRule="exact"/>
        <w:rPr>
          <w:sz w:val="20"/>
          <w:szCs w:val="20"/>
          <w:color w:val="auto"/>
        </w:rPr>
      </w:pPr>
    </w:p>
    <w:p>
      <w:pPr>
        <w:jc w:val="both"/>
        <w:spacing w:after="0" w:line="239" w:lineRule="auto"/>
        <w:rPr>
          <w:sz w:val="20"/>
          <w:szCs w:val="20"/>
          <w:color w:val="auto"/>
        </w:rPr>
      </w:pPr>
      <w:r>
        <w:rPr>
          <w:rFonts w:ascii="Arial" w:cs="Arial" w:eastAsia="Arial" w:hAnsi="Arial"/>
          <w:sz w:val="22"/>
          <w:szCs w:val="22"/>
          <w:color w:val="auto"/>
        </w:rPr>
        <w:t>5.1 Le jury se compose de trois ou cinq membres indépendants qui sont des personnalités réputées dans le domaine de l’EDD, compte tenu de la nécessité d’une répartition géographique équitable, du respect de la parité et du principe de non-paiement d'honoraires. Les membres sont nommés par le Directeur général pour une période initiale de deux ans, susceptible d’être renouvelée pour le restant du cycle de cinq ans. Les membres du Conseil exécutif et leurs suppléants ne peuvent pas être désignés comme jurés. En cas de conflit d'intérêts réel ou potentiel, un juré se récuse ou est prié par le Directeur général de le faire. Le Directeur général peut remplacer des membres du jury pour une raison légitime.</w:t>
      </w:r>
    </w:p>
    <w:p>
      <w:pPr>
        <w:spacing w:after="0" w:line="248" w:lineRule="exact"/>
        <w:rPr>
          <w:sz w:val="20"/>
          <w:szCs w:val="20"/>
          <w:color w:val="auto"/>
        </w:rPr>
      </w:pPr>
    </w:p>
    <w:p>
      <w:pPr>
        <w:jc w:val="both"/>
        <w:spacing w:after="0" w:line="238" w:lineRule="auto"/>
        <w:rPr>
          <w:sz w:val="20"/>
          <w:szCs w:val="20"/>
          <w:color w:val="auto"/>
        </w:rPr>
      </w:pPr>
      <w:r>
        <w:rPr>
          <w:rFonts w:ascii="Arial" w:cs="Arial" w:eastAsia="Arial" w:hAnsi="Arial"/>
          <w:sz w:val="22"/>
          <w:szCs w:val="22"/>
          <w:color w:val="auto"/>
        </w:rPr>
        <w:t>5.2 Le jury élit son/sa président(e) et son/sa vice-président(e). Les jurés ne sont pas rémunérés mais perçoivent une indemnité de voyage et de logement, le cas échéant. Il faut un quorum de trois personnes pour que le jury puisse délibérer. Les langues de travail du jury sont l'anglais et le français.</w:t>
      </w:r>
    </w:p>
    <w:p>
      <w:pPr>
        <w:spacing w:after="0" w:line="249" w:lineRule="exact"/>
        <w:rPr>
          <w:sz w:val="20"/>
          <w:szCs w:val="20"/>
          <w:color w:val="auto"/>
        </w:rPr>
      </w:pPr>
    </w:p>
    <w:p>
      <w:pPr>
        <w:jc w:val="both"/>
        <w:ind w:right="20"/>
        <w:spacing w:after="0" w:line="238" w:lineRule="auto"/>
        <w:rPr>
          <w:sz w:val="20"/>
          <w:szCs w:val="20"/>
          <w:color w:val="auto"/>
        </w:rPr>
      </w:pPr>
      <w:r>
        <w:rPr>
          <w:rFonts w:ascii="Arial" w:cs="Arial" w:eastAsia="Arial" w:hAnsi="Arial"/>
          <w:sz w:val="22"/>
          <w:szCs w:val="22"/>
          <w:color w:val="auto"/>
        </w:rPr>
        <w:t>5.3 Le jury conduit ses travaux et ses délibérations conformément aux présents Statuts et avec l'assistance d'un membre du Secrétariat de l'UNESCO, désigné par le Directeur général. Les décisions sont prises par consensus dans la mesure du possible et, sinon, à bulletins secrets jusqu'à ce qu'une majorité simple se dégage. Un juré ne prend pas part au vote sur une candidature présentée par son pays.</w:t>
      </w:r>
    </w:p>
    <w:p>
      <w:pPr>
        <w:spacing w:after="0" w:line="243" w:lineRule="exact"/>
        <w:rPr>
          <w:sz w:val="20"/>
          <w:szCs w:val="20"/>
          <w:color w:val="auto"/>
        </w:rPr>
      </w:pPr>
    </w:p>
    <w:p>
      <w:pPr>
        <w:spacing w:after="0"/>
        <w:tabs>
          <w:tab w:leader="none" w:pos="540" w:val="left"/>
        </w:tabs>
        <w:rPr>
          <w:sz w:val="20"/>
          <w:szCs w:val="20"/>
          <w:color w:val="auto"/>
        </w:rPr>
      </w:pPr>
      <w:r>
        <w:rPr>
          <w:rFonts w:ascii="Arial" w:cs="Arial" w:eastAsia="Arial" w:hAnsi="Arial"/>
          <w:sz w:val="22"/>
          <w:szCs w:val="22"/>
          <w:color w:val="auto"/>
        </w:rPr>
        <w:t>5.4</w:t>
      </w:r>
      <w:r>
        <w:rPr>
          <w:sz w:val="20"/>
          <w:szCs w:val="20"/>
          <w:color w:val="auto"/>
        </w:rPr>
        <w:tab/>
      </w:r>
      <w:r>
        <w:rPr>
          <w:rFonts w:ascii="Arial" w:cs="Arial" w:eastAsia="Arial" w:hAnsi="Arial"/>
          <w:sz w:val="21"/>
          <w:szCs w:val="21"/>
          <w:color w:val="auto"/>
        </w:rPr>
        <w:t>Le jury se réunit une fois par an.</w:t>
      </w:r>
    </w:p>
    <w:p>
      <w:pPr>
        <w:spacing w:after="0" w:line="250" w:lineRule="exact"/>
        <w:rPr>
          <w:sz w:val="20"/>
          <w:szCs w:val="20"/>
          <w:color w:val="auto"/>
        </w:rPr>
      </w:pPr>
    </w:p>
    <w:p>
      <w:pPr>
        <w:jc w:val="both"/>
        <w:spacing w:after="0" w:line="235" w:lineRule="auto"/>
        <w:rPr>
          <w:sz w:val="20"/>
          <w:szCs w:val="20"/>
          <w:color w:val="auto"/>
        </w:rPr>
      </w:pPr>
      <w:r>
        <w:rPr>
          <w:rFonts w:ascii="Arial" w:cs="Arial" w:eastAsia="Arial" w:hAnsi="Arial"/>
          <w:sz w:val="22"/>
          <w:szCs w:val="22"/>
          <w:color w:val="auto"/>
        </w:rPr>
        <w:t>5.5 Le jury adresse au Directeur général de l'UNESCO une évaluation des candidatures, accompagnée de recommandations, au plus tard le 31 juillet de l’année de la remise du Prix.</w:t>
      </w:r>
    </w:p>
    <w:p>
      <w:pPr>
        <w:spacing w:after="0" w:line="238"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6 – Présentation des candidatures</w:t>
      </w:r>
    </w:p>
    <w:p>
      <w:pPr>
        <w:spacing w:after="0" w:line="252" w:lineRule="exact"/>
        <w:rPr>
          <w:sz w:val="20"/>
          <w:szCs w:val="20"/>
          <w:color w:val="auto"/>
        </w:rPr>
      </w:pPr>
    </w:p>
    <w:p>
      <w:pPr>
        <w:jc w:val="both"/>
        <w:spacing w:after="0" w:line="238" w:lineRule="auto"/>
        <w:rPr>
          <w:sz w:val="20"/>
          <w:szCs w:val="20"/>
          <w:color w:val="auto"/>
        </w:rPr>
      </w:pPr>
      <w:r>
        <w:rPr>
          <w:rFonts w:ascii="Arial" w:cs="Arial" w:eastAsia="Arial" w:hAnsi="Arial"/>
          <w:sz w:val="22"/>
          <w:szCs w:val="22"/>
          <w:color w:val="auto"/>
        </w:rPr>
        <w:t>6.1 Une fois que l'UNESCO a reçu le financement du Prix, comme indiqué à l'article 2 ci-dessus, le Directeur général de l'UNESCO invite officiellement les gouvernements des États membres, en consultation avec leur commission nationale, ainsi que les organisations non gouvernementales entretenant un partenariat officiel avec l'Organisation et actives dans un domaine visé par le Prix, à présenter des candidatures au Secrétariat du Prix, au plus tard le 30 avril.</w:t>
      </w:r>
    </w:p>
    <w:p>
      <w:pPr>
        <w:spacing w:after="0" w:line="251" w:lineRule="exact"/>
        <w:rPr>
          <w:sz w:val="20"/>
          <w:szCs w:val="20"/>
          <w:color w:val="auto"/>
        </w:rPr>
      </w:pPr>
    </w:p>
    <w:p>
      <w:pPr>
        <w:jc w:val="both"/>
        <w:spacing w:after="0" w:line="237" w:lineRule="auto"/>
        <w:rPr>
          <w:sz w:val="20"/>
          <w:szCs w:val="20"/>
          <w:color w:val="auto"/>
        </w:rPr>
      </w:pPr>
      <w:r>
        <w:rPr>
          <w:rFonts w:ascii="Arial" w:cs="Arial" w:eastAsia="Arial" w:hAnsi="Arial"/>
          <w:sz w:val="22"/>
          <w:szCs w:val="22"/>
          <w:color w:val="auto"/>
        </w:rPr>
        <w:t>6.2 Les candidatures sont proposées au Directeur général par les gouvernements des États membres, en consultation avec leur commission nationale, ou par des organisations non gouvernementales entretenant un partenariat officiel avec l'UNESCO. Nul ne peut présenter sa propre candidature spontanée.</w:t>
      </w:r>
    </w:p>
    <w:p>
      <w:pPr>
        <w:spacing w:after="0" w:line="251" w:lineRule="exact"/>
        <w:rPr>
          <w:sz w:val="20"/>
          <w:szCs w:val="20"/>
          <w:color w:val="auto"/>
        </w:rPr>
      </w:pPr>
    </w:p>
    <w:p>
      <w:pPr>
        <w:jc w:val="both"/>
        <w:spacing w:after="0" w:line="236" w:lineRule="auto"/>
        <w:rPr>
          <w:sz w:val="20"/>
          <w:szCs w:val="20"/>
          <w:color w:val="auto"/>
        </w:rPr>
      </w:pPr>
      <w:r>
        <w:rPr>
          <w:rFonts w:ascii="Arial" w:cs="Arial" w:eastAsia="Arial" w:hAnsi="Arial"/>
          <w:sz w:val="22"/>
          <w:szCs w:val="22"/>
          <w:color w:val="auto"/>
        </w:rPr>
        <w:t>6.3 Chaque candidature doit être accompagnée d’une recommandation écrite comprenant notamment, en anglais ou en français :</w:t>
      </w:r>
    </w:p>
    <w:p>
      <w:pPr>
        <w:spacing w:after="0" w:line="240" w:lineRule="exact"/>
        <w:rPr>
          <w:sz w:val="20"/>
          <w:szCs w:val="20"/>
          <w:color w:val="auto"/>
        </w:rPr>
      </w:pPr>
    </w:p>
    <w:p>
      <w:pPr>
        <w:ind w:left="1120" w:hanging="560"/>
        <w:spacing w:after="0"/>
        <w:tabs>
          <w:tab w:leader="none" w:pos="1120" w:val="left"/>
        </w:tabs>
        <w:numPr>
          <w:ilvl w:val="0"/>
          <w:numId w:val="6"/>
        </w:numPr>
        <w:rPr>
          <w:rFonts w:ascii="Arial" w:cs="Arial" w:eastAsia="Arial" w:hAnsi="Arial"/>
          <w:sz w:val="22"/>
          <w:szCs w:val="22"/>
          <w:color w:val="auto"/>
        </w:rPr>
      </w:pPr>
      <w:r>
        <w:rPr>
          <w:rFonts w:ascii="Arial" w:cs="Arial" w:eastAsia="Arial" w:hAnsi="Arial"/>
          <w:sz w:val="22"/>
          <w:szCs w:val="22"/>
          <w:color w:val="auto"/>
        </w:rPr>
        <w:t>la description du profil et des réalisations du candidat ;</w:t>
      </w:r>
    </w:p>
    <w:p>
      <w:pPr>
        <w:spacing w:after="0" w:line="249" w:lineRule="exact"/>
        <w:rPr>
          <w:rFonts w:ascii="Arial" w:cs="Arial" w:eastAsia="Arial" w:hAnsi="Arial"/>
          <w:sz w:val="22"/>
          <w:szCs w:val="22"/>
          <w:color w:val="auto"/>
        </w:rPr>
      </w:pPr>
    </w:p>
    <w:p>
      <w:pPr>
        <w:ind w:left="1120" w:hanging="560"/>
        <w:spacing w:after="0" w:line="235" w:lineRule="auto"/>
        <w:tabs>
          <w:tab w:leader="none" w:pos="1120" w:val="left"/>
        </w:tabs>
        <w:numPr>
          <w:ilvl w:val="0"/>
          <w:numId w:val="6"/>
        </w:numPr>
        <w:rPr>
          <w:rFonts w:ascii="Arial" w:cs="Arial" w:eastAsia="Arial" w:hAnsi="Arial"/>
          <w:sz w:val="22"/>
          <w:szCs w:val="22"/>
          <w:color w:val="auto"/>
        </w:rPr>
      </w:pPr>
      <w:r>
        <w:rPr>
          <w:rFonts w:ascii="Arial" w:cs="Arial" w:eastAsia="Arial" w:hAnsi="Arial"/>
          <w:sz w:val="22"/>
          <w:szCs w:val="22"/>
          <w:color w:val="auto"/>
        </w:rPr>
        <w:t>le résumé des travaux ou les résultats des travaux, publications et autres documents pertinents ayant une importance majeure, soumis à l'attention du jury ;</w:t>
      </w:r>
    </w:p>
    <w:p>
      <w:pPr>
        <w:spacing w:after="0" w:line="240" w:lineRule="exact"/>
        <w:rPr>
          <w:rFonts w:ascii="Arial" w:cs="Arial" w:eastAsia="Arial" w:hAnsi="Arial"/>
          <w:sz w:val="22"/>
          <w:szCs w:val="22"/>
          <w:color w:val="auto"/>
        </w:rPr>
      </w:pPr>
    </w:p>
    <w:p>
      <w:pPr>
        <w:ind w:left="1120" w:hanging="560"/>
        <w:spacing w:after="0"/>
        <w:tabs>
          <w:tab w:leader="none" w:pos="1120" w:val="left"/>
        </w:tabs>
        <w:numPr>
          <w:ilvl w:val="0"/>
          <w:numId w:val="6"/>
        </w:numPr>
        <w:rPr>
          <w:rFonts w:ascii="Arial" w:cs="Arial" w:eastAsia="Arial" w:hAnsi="Arial"/>
          <w:sz w:val="22"/>
          <w:szCs w:val="22"/>
          <w:color w:val="auto"/>
        </w:rPr>
      </w:pPr>
      <w:r>
        <w:rPr>
          <w:rFonts w:ascii="Arial" w:cs="Arial" w:eastAsia="Arial" w:hAnsi="Arial"/>
          <w:sz w:val="22"/>
          <w:szCs w:val="22"/>
          <w:color w:val="auto"/>
        </w:rPr>
        <w:t>la définition de la contribution du candidat aux objectifs du Prix.</w:t>
      </w:r>
    </w:p>
    <w:p>
      <w:pPr>
        <w:spacing w:after="0" w:line="239"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7 – Modalités d'attribution du Prix</w:t>
      </w:r>
    </w:p>
    <w:p>
      <w:pPr>
        <w:spacing w:after="0" w:line="249" w:lineRule="exact"/>
        <w:rPr>
          <w:sz w:val="20"/>
          <w:szCs w:val="20"/>
          <w:color w:val="auto"/>
        </w:rPr>
      </w:pPr>
    </w:p>
    <w:p>
      <w:pPr>
        <w:jc w:val="both"/>
        <w:spacing w:after="0" w:line="237" w:lineRule="auto"/>
        <w:rPr>
          <w:sz w:val="20"/>
          <w:szCs w:val="20"/>
          <w:color w:val="auto"/>
        </w:rPr>
      </w:pPr>
      <w:r>
        <w:rPr>
          <w:rFonts w:ascii="Arial" w:cs="Arial" w:eastAsia="Arial" w:hAnsi="Arial"/>
          <w:sz w:val="22"/>
          <w:szCs w:val="22"/>
          <w:color w:val="auto"/>
        </w:rPr>
        <w:t>7.1 Le Prix est décerné par le Directeur général lors d'une cérémonie officielle organisée à cet effet à une date fixée par lui. L'UNESCO remet aux lauréats un chèque correspondant au montant du Prix. L'UNESCO annonce officiellement les noms des lauréats.</w:t>
      </w:r>
    </w:p>
    <w:p>
      <w:pPr>
        <w:spacing w:after="0" w:line="251" w:lineRule="exact"/>
        <w:rPr>
          <w:sz w:val="20"/>
          <w:szCs w:val="20"/>
          <w:color w:val="auto"/>
        </w:rPr>
      </w:pPr>
    </w:p>
    <w:p>
      <w:pPr>
        <w:jc w:val="both"/>
        <w:spacing w:after="0" w:line="253" w:lineRule="auto"/>
        <w:rPr>
          <w:sz w:val="20"/>
          <w:szCs w:val="20"/>
          <w:color w:val="auto"/>
        </w:rPr>
      </w:pPr>
      <w:r>
        <w:rPr>
          <w:rFonts w:ascii="Arial" w:cs="Arial" w:eastAsia="Arial" w:hAnsi="Arial"/>
          <w:sz w:val="21"/>
          <w:szCs w:val="21"/>
          <w:color w:val="auto"/>
        </w:rPr>
        <w:t>7.2 Si les travaux récompensés sont l'œuvre de deux ou trois personnes, le Prix leur est décerné conjointement. Le montant d'un Prix ne peut en aucun cas être partagé entre plus de trois personnes.</w:t>
      </w:r>
    </w:p>
    <w:p>
      <w:pPr>
        <w:sectPr>
          <w:pgSz w:w="11900" w:h="16838" w:orient="portrait"/>
          <w:cols w:equalWidth="0" w:num="1">
            <w:col w:w="9640"/>
          </w:cols>
          <w:pgMar w:left="1140" w:top="621" w:right="1126" w:bottom="414" w:gutter="0" w:footer="0" w:header="0"/>
        </w:sectPr>
      </w:pPr>
    </w:p>
    <w:p>
      <w:pPr>
        <w:ind w:left="7660"/>
        <w:spacing w:after="0"/>
        <w:rPr>
          <w:sz w:val="20"/>
          <w:szCs w:val="20"/>
          <w:color w:val="auto"/>
        </w:rPr>
      </w:pPr>
      <w:r>
        <w:rPr>
          <w:rFonts w:ascii="Arial" w:cs="Arial" w:eastAsia="Arial" w:hAnsi="Arial"/>
          <w:sz w:val="22"/>
          <w:szCs w:val="22"/>
          <w:color w:val="auto"/>
        </w:rPr>
        <w:t>CL/4185</w:t>
      </w:r>
    </w:p>
    <w:p>
      <w:pPr>
        <w:ind w:left="7660"/>
        <w:spacing w:after="0"/>
        <w:rPr>
          <w:sz w:val="20"/>
          <w:szCs w:val="20"/>
          <w:color w:val="auto"/>
        </w:rPr>
      </w:pPr>
      <w:r>
        <w:rPr>
          <w:rFonts w:ascii="Arial" w:cs="Arial" w:eastAsia="Arial" w:hAnsi="Arial"/>
          <w:sz w:val="22"/>
          <w:szCs w:val="22"/>
          <w:color w:val="auto"/>
        </w:rPr>
        <w:t>Annexe II – page 3</w:t>
      </w:r>
    </w:p>
    <w:p>
      <w:pPr>
        <w:spacing w:after="0" w:line="249" w:lineRule="exact"/>
        <w:rPr>
          <w:sz w:val="20"/>
          <w:szCs w:val="20"/>
          <w:color w:val="auto"/>
        </w:rPr>
      </w:pPr>
    </w:p>
    <w:p>
      <w:pPr>
        <w:jc w:val="both"/>
        <w:ind w:right="20"/>
        <w:spacing w:after="0" w:line="235" w:lineRule="auto"/>
        <w:rPr>
          <w:sz w:val="20"/>
          <w:szCs w:val="20"/>
          <w:color w:val="auto"/>
        </w:rPr>
      </w:pPr>
      <w:r>
        <w:rPr>
          <w:rFonts w:ascii="Arial" w:cs="Arial" w:eastAsia="Arial" w:hAnsi="Arial"/>
          <w:sz w:val="22"/>
          <w:szCs w:val="22"/>
          <w:color w:val="auto"/>
        </w:rPr>
        <w:t>7.3 Si possible, les lauréats font un exposé sur les travaux récompensés. Cet exposé a lieu lors de la cérémonie de remise du Prix ou en liaison avec elle.</w:t>
      </w:r>
    </w:p>
    <w:p>
      <w:pPr>
        <w:spacing w:after="0" w:line="251" w:lineRule="exact"/>
        <w:rPr>
          <w:sz w:val="20"/>
          <w:szCs w:val="20"/>
          <w:color w:val="auto"/>
        </w:rPr>
      </w:pPr>
    </w:p>
    <w:p>
      <w:pPr>
        <w:jc w:val="both"/>
        <w:spacing w:after="0" w:line="236" w:lineRule="auto"/>
        <w:rPr>
          <w:sz w:val="20"/>
          <w:szCs w:val="20"/>
          <w:color w:val="auto"/>
        </w:rPr>
      </w:pPr>
      <w:r>
        <w:rPr>
          <w:rFonts w:ascii="Arial" w:cs="Arial" w:eastAsia="Arial" w:hAnsi="Arial"/>
          <w:sz w:val="22"/>
          <w:szCs w:val="22"/>
          <w:color w:val="auto"/>
        </w:rPr>
        <w:t>7.4 Les travaux effectués par une personne entre-temps décédée ne sont pas pris en considération pour l'attribution du Prix. Toutefois, en cas de décès d'un lauréat avant la remise du Prix, celui-ci peut lui être décerné à titre posthume.</w:t>
      </w:r>
    </w:p>
    <w:p>
      <w:pPr>
        <w:spacing w:after="0" w:line="244" w:lineRule="exact"/>
        <w:rPr>
          <w:sz w:val="20"/>
          <w:szCs w:val="20"/>
          <w:color w:val="auto"/>
        </w:rPr>
      </w:pPr>
    </w:p>
    <w:p>
      <w:pPr>
        <w:spacing w:after="0"/>
        <w:tabs>
          <w:tab w:leader="none" w:pos="540" w:val="left"/>
        </w:tabs>
        <w:rPr>
          <w:sz w:val="20"/>
          <w:szCs w:val="20"/>
          <w:color w:val="auto"/>
        </w:rPr>
      </w:pPr>
      <w:r>
        <w:rPr>
          <w:rFonts w:ascii="Arial" w:cs="Arial" w:eastAsia="Arial" w:hAnsi="Arial"/>
          <w:sz w:val="22"/>
          <w:szCs w:val="22"/>
          <w:color w:val="auto"/>
        </w:rPr>
        <w:t>7.5</w:t>
        <w:tab/>
        <w:t>Si un lauréat refuse le Prix, le jury soumet une nouvelle proposition au Directeur général.</w:t>
      </w:r>
    </w:p>
    <w:p>
      <w:pPr>
        <w:spacing w:after="0" w:line="237"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8 – Clause de caducité automatique – renouvellement obligatoire du Prix</w:t>
      </w:r>
    </w:p>
    <w:p>
      <w:pPr>
        <w:spacing w:after="0" w:line="252" w:lineRule="exact"/>
        <w:rPr>
          <w:sz w:val="20"/>
          <w:szCs w:val="20"/>
          <w:color w:val="auto"/>
        </w:rPr>
      </w:pPr>
    </w:p>
    <w:p>
      <w:pPr>
        <w:jc w:val="both"/>
        <w:spacing w:after="0" w:line="237" w:lineRule="auto"/>
        <w:rPr>
          <w:sz w:val="20"/>
          <w:szCs w:val="20"/>
          <w:color w:val="auto"/>
        </w:rPr>
      </w:pPr>
      <w:r>
        <w:rPr>
          <w:rFonts w:ascii="Arial" w:cs="Arial" w:eastAsia="Arial" w:hAnsi="Arial"/>
          <w:sz w:val="22"/>
          <w:szCs w:val="22"/>
          <w:color w:val="auto"/>
        </w:rPr>
        <w:t>8.1 Six mois avant la date d’expiration convenue du Prix (au terme de cinq ans), le Directeur général de l'UNESCO, avec le donateur, fait le point de tous les aspects du Prix et décide de le maintenir ou de le supprimer. Il informe le Conseil exécutif de l'UNESCO des conclusions de cet examen.</w:t>
      </w:r>
    </w:p>
    <w:p>
      <w:pPr>
        <w:spacing w:after="0" w:line="251" w:lineRule="exact"/>
        <w:rPr>
          <w:sz w:val="20"/>
          <w:szCs w:val="20"/>
          <w:color w:val="auto"/>
        </w:rPr>
      </w:pPr>
    </w:p>
    <w:p>
      <w:pPr>
        <w:jc w:val="both"/>
        <w:ind w:right="20"/>
        <w:spacing w:after="0" w:line="236" w:lineRule="auto"/>
        <w:rPr>
          <w:sz w:val="20"/>
          <w:szCs w:val="20"/>
          <w:color w:val="auto"/>
        </w:rPr>
      </w:pPr>
      <w:r>
        <w:rPr>
          <w:rFonts w:ascii="Arial" w:cs="Arial" w:eastAsia="Arial" w:hAnsi="Arial"/>
          <w:sz w:val="22"/>
          <w:szCs w:val="22"/>
          <w:color w:val="auto"/>
        </w:rPr>
        <w:t>8.2 En cas de suppression du Prix, le Directeur général décide de l'emploi de tout solde inutilisé, conformément au Règlement financier du Prix.</w:t>
      </w:r>
    </w:p>
    <w:p>
      <w:pPr>
        <w:spacing w:after="0" w:line="239"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9 – Appel</w:t>
      </w:r>
    </w:p>
    <w:p>
      <w:pPr>
        <w:spacing w:after="0" w:line="252" w:lineRule="exact"/>
        <w:rPr>
          <w:sz w:val="20"/>
          <w:szCs w:val="20"/>
          <w:color w:val="auto"/>
        </w:rPr>
      </w:pPr>
    </w:p>
    <w:p>
      <w:pPr>
        <w:jc w:val="both"/>
        <w:spacing w:after="0" w:line="235" w:lineRule="auto"/>
        <w:rPr>
          <w:sz w:val="20"/>
          <w:szCs w:val="20"/>
          <w:color w:val="auto"/>
        </w:rPr>
      </w:pPr>
      <w:r>
        <w:rPr>
          <w:rFonts w:ascii="Arial" w:cs="Arial" w:eastAsia="Arial" w:hAnsi="Arial"/>
          <w:sz w:val="22"/>
          <w:szCs w:val="22"/>
          <w:color w:val="auto"/>
        </w:rPr>
        <w:t>Il ne peut être fait appel de la décision de l'UNESCO concernant l'attribution du Prix. Les candidatures proposées au Prix ne sont pas divulguées.</w:t>
      </w:r>
    </w:p>
    <w:p>
      <w:pPr>
        <w:spacing w:after="0" w:line="238" w:lineRule="exact"/>
        <w:rPr>
          <w:sz w:val="20"/>
          <w:szCs w:val="20"/>
          <w:color w:val="auto"/>
        </w:rPr>
      </w:pPr>
    </w:p>
    <w:p>
      <w:pPr>
        <w:spacing w:after="0"/>
        <w:rPr>
          <w:sz w:val="20"/>
          <w:szCs w:val="20"/>
          <w:color w:val="auto"/>
        </w:rPr>
      </w:pPr>
      <w:r>
        <w:rPr>
          <w:rFonts w:ascii="Arial" w:cs="Arial" w:eastAsia="Arial" w:hAnsi="Arial"/>
          <w:sz w:val="22"/>
          <w:szCs w:val="22"/>
          <w:i w:val="1"/>
          <w:iCs w:val="1"/>
          <w:color w:val="auto"/>
        </w:rPr>
        <w:t>Article 10 – Amendements aux Statuts du Prix</w:t>
      </w:r>
    </w:p>
    <w:p>
      <w:pPr>
        <w:spacing w:after="0" w:line="243" w:lineRule="exact"/>
        <w:rPr>
          <w:sz w:val="20"/>
          <w:szCs w:val="20"/>
          <w:color w:val="auto"/>
        </w:rPr>
      </w:pPr>
    </w:p>
    <w:p>
      <w:pPr>
        <w:spacing w:after="0"/>
        <w:rPr>
          <w:sz w:val="20"/>
          <w:szCs w:val="20"/>
          <w:color w:val="auto"/>
        </w:rPr>
      </w:pPr>
      <w:r>
        <w:rPr>
          <w:rFonts w:ascii="Arial" w:cs="Arial" w:eastAsia="Arial" w:hAnsi="Arial"/>
          <w:sz w:val="22"/>
          <w:szCs w:val="22"/>
          <w:color w:val="auto"/>
        </w:rPr>
        <w:t>Tout amendement aux présents Statuts doit être soumis au Conseil exécutif pour approbation.</w:t>
      </w:r>
    </w:p>
    <w:sectPr>
      <w:pgSz w:w="11900" w:h="16838" w:orient="portrait"/>
      <w:cols w:equalWidth="0" w:num="1">
        <w:col w:w="9640"/>
      </w:cols>
      <w:pgMar w:left="1140" w:top="621" w:right="112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400001FF" w:csb1="FFFF0000"/>
  </w:font>
  <w:font w:name="Arial Black">
    <w:panose1 w:val="020B0A04020102020204"/>
    <w:charset w:val="00"/>
    <w:family w:val="swiss"/>
    <w:pitch w:val="variable"/>
    <w:sig w:usb0="A00002AF" w:usb1="400078FB" w:usb2="00000000" w:usb3="00000000" w:csb0="6000009F" w:csb1="DFD70000"/>
  </w:font>
  <w:font w:name="Wingdings">
    <w:panose1 w:val="05000000000000000000"/>
    <w:charset w:val="00"/>
    <w:family w:val="auto"/>
    <w:pitch w:val="variable"/>
    <w:sig w:usb0="00000000" w:usb1="00000000" w:usb2="00000000" w:usb3="00000000" w:csb0="80000000" w:csb1="00000000"/>
  </w:font>
</w:fonts>
</file>

<file path=word/numbering.xml><?xml version="1.0" encoding="utf-8"?>
<w:numbering xmlns:w="http://schemas.openxmlformats.org/wordprocessingml/2006/main">
  <w:abstractNum w:abstractNumId="0">
    <w:nsid w:val="5AF1"/>
    <w:multiLevelType w:val="hybridMultilevel"/>
    <w:lvl w:ilvl="0">
      <w:lvlJc w:val="left"/>
      <w:lvlText w:val="%1."/>
      <w:numFmt w:val="lowerLetter"/>
      <w:start w:val="3"/>
    </w:lvl>
  </w:abstractNum>
  <w:abstractNum w:abstractNumId="1">
    <w:nsid w:val="41BB"/>
    <w:multiLevelType w:val="hybridMultilevel"/>
    <w:lvl w:ilvl="0">
      <w:lvlJc w:val="left"/>
      <w:lvlText w:val=""/>
      <w:numFmt w:val="bullet"/>
      <w:start w:val="1"/>
    </w:lvl>
  </w:abstractNum>
  <w:abstractNum w:abstractNumId="2">
    <w:nsid w:val="26E9"/>
    <w:multiLevelType w:val="hybridMultilevel"/>
    <w:lvl w:ilvl="0">
      <w:lvlJc w:val="left"/>
      <w:lvlText w:val="(%1)"/>
      <w:numFmt w:val="decimal"/>
      <w:start w:val="1"/>
    </w:lvl>
  </w:abstractNum>
  <w:abstractNum w:abstractNumId="3">
    <w:nsid w:val="1EB"/>
    <w:multiLevelType w:val="hybridMultilevel"/>
    <w:lvl w:ilvl="0">
      <w:lvlJc w:val="left"/>
      <w:lvlText w:val="%1."/>
      <w:numFmt w:val="decimal"/>
      <w:start w:val="1"/>
    </w:lvl>
  </w:abstractNum>
  <w:abstractNum w:abstractNumId="4">
    <w:nsid w:val="BB3"/>
    <w:multiLevelType w:val="hybridMultilevel"/>
    <w:lvl w:ilvl="0">
      <w:lvlJc w:val="left"/>
      <w:lvlText w:val="à"/>
      <w:numFmt w:val="bullet"/>
      <w:start w:val="1"/>
    </w:lvl>
  </w:abstractNum>
  <w:abstractNum w:abstractNumId="5">
    <w:nsid w:val="2EA6"/>
    <w:multiLevelType w:val="hybridMultilevel"/>
    <w:lvl w:ilvl="0">
      <w:lvlJc w:val="left"/>
      <w:lvlText w:val="(%1)"/>
      <w:numFmt w:val="lowerLetter"/>
      <w:start w:val="1"/>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3" Type="http://schemas.openxmlformats.org/officeDocument/2006/relationships/image" Target="media/image3.jpeg"/><Relationship Id="rId14" Type="http://schemas.openxmlformats.org/officeDocument/2006/relationships/image" Target="media/image4.jpeg"/><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jpeg"/><Relationship Id="rId19" Type="http://schemas.openxmlformats.org/officeDocument/2006/relationships/image" Target="media/image9.jpeg"/><Relationship Id="rId20" Type="http://schemas.openxmlformats.org/officeDocument/2006/relationships/image" Target="media/image10.jpeg"/><Relationship Id="rId21" Type="http://schemas.openxmlformats.org/officeDocument/2006/relationships/image" Target="media/image11.jpeg"/><Relationship Id="rId22" Type="http://schemas.openxmlformats.org/officeDocument/2006/relationships/image" Target="media/image12.jpeg"/><Relationship Id="rId10" Type="http://schemas.openxmlformats.org/officeDocument/2006/relationships/hyperlink" Target="https://teams.unesco.org/org/ed/esd-prize" TargetMode="External"/><Relationship Id="rId11" Type="http://schemas.openxmlformats.org/officeDocument/2006/relationships/hyperlink" Target="mailto:esdprize@unesco.org" TargetMode="External"/><Relationship Id="rId12" Type="http://schemas.openxmlformats.org/officeDocument/2006/relationships/hyperlink" Target="http://unesco.org/esd" TargetMode="External"/><Relationship Id="rId23" Type="http://schemas.openxmlformats.org/officeDocument/2006/relationships/hyperlink" Target="../../0022/002278/227860F.pdf"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2017-01-31T11:37:47Z</dcterms:created>
  <dcterms:modified xsi:type="dcterms:W3CDTF">2017-01-31T11:37:47Z</dcterms:modified>
</cp:coreProperties>
</file>